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33EADF2"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bookmarkStart w:id="0" w:name="_GoBack"/>
      <w:r w:rsidR="00185EBC">
        <w:rPr>
          <w:rFonts w:ascii="楷体" w:eastAsia="楷体" w:hAnsi="楷体" w:hint="eastAsia"/>
          <w:sz w:val="28"/>
          <w:szCs w:val="28"/>
        </w:rPr>
        <w:t>通胀预期持续发酵</w:t>
      </w:r>
      <w:r w:rsidR="00CD02EA">
        <w:rPr>
          <w:rFonts w:ascii="楷体" w:eastAsia="楷体" w:hAnsi="楷体" w:hint="eastAsia"/>
          <w:sz w:val="28"/>
          <w:szCs w:val="28"/>
        </w:rPr>
        <w:t>，</w:t>
      </w:r>
      <w:r w:rsidR="00185EBC">
        <w:rPr>
          <w:rFonts w:ascii="楷体" w:eastAsia="楷体" w:hAnsi="楷体" w:hint="eastAsia"/>
          <w:sz w:val="28"/>
          <w:szCs w:val="28"/>
        </w:rPr>
        <w:t>债市情绪持续谨慎</w:t>
      </w:r>
      <w:bookmarkEnd w:id="0"/>
      <w:r w:rsidR="007F77B5" w:rsidRPr="00541553">
        <w:rPr>
          <w:rFonts w:ascii="楷体" w:eastAsia="楷体" w:hAnsi="楷体"/>
          <w:sz w:val="28"/>
          <w:szCs w:val="28"/>
        </w:rPr>
        <w:t xml:space="preserve"> </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66FA5BB2" w14:textId="0E21E7E1" w:rsidR="004F7918" w:rsidRDefault="00A379A1" w:rsidP="00EA42E3">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近期</w:t>
      </w:r>
      <w:r w:rsidR="00EA42E3">
        <w:rPr>
          <w:rFonts w:ascii="华文楷体" w:hAnsi="华文楷体" w:hint="eastAsia"/>
          <w:b w:val="0"/>
          <w:bCs/>
          <w:smallCaps w:val="0"/>
          <w:color w:val="auto"/>
          <w:sz w:val="24"/>
          <w:szCs w:val="24"/>
        </w:rPr>
        <w:t>公布2月官方P</w:t>
      </w:r>
      <w:r w:rsidR="00EA42E3">
        <w:rPr>
          <w:rFonts w:ascii="华文楷体" w:hAnsi="华文楷体"/>
          <w:b w:val="0"/>
          <w:bCs/>
          <w:smallCaps w:val="0"/>
          <w:color w:val="auto"/>
          <w:sz w:val="24"/>
          <w:szCs w:val="24"/>
        </w:rPr>
        <w:t>MI</w:t>
      </w:r>
      <w:r w:rsidR="00EA42E3">
        <w:rPr>
          <w:rFonts w:ascii="华文楷体" w:hAnsi="华文楷体" w:hint="eastAsia"/>
          <w:b w:val="0"/>
          <w:bCs/>
          <w:smallCaps w:val="0"/>
          <w:color w:val="auto"/>
          <w:sz w:val="24"/>
          <w:szCs w:val="24"/>
        </w:rPr>
        <w:t>数据，其中</w:t>
      </w:r>
      <w:r w:rsidR="00EA42E3" w:rsidRPr="00EA42E3">
        <w:rPr>
          <w:rFonts w:ascii="华文楷体" w:hAnsi="华文楷体" w:hint="eastAsia"/>
          <w:b w:val="0"/>
          <w:bCs/>
          <w:smallCaps w:val="0"/>
          <w:color w:val="auto"/>
          <w:sz w:val="24"/>
          <w:szCs w:val="24"/>
        </w:rPr>
        <w:t>2021年2月中国官方制造业PMI50.6%，较2021年1月的51.3%有所回落，</w:t>
      </w:r>
      <w:r w:rsidR="00EA42E3">
        <w:rPr>
          <w:rFonts w:ascii="华文楷体" w:hAnsi="华文楷体" w:hint="eastAsia"/>
          <w:b w:val="0"/>
          <w:bCs/>
          <w:smallCaps w:val="0"/>
          <w:color w:val="auto"/>
          <w:sz w:val="24"/>
          <w:szCs w:val="24"/>
        </w:rPr>
        <w:t>基本</w:t>
      </w:r>
      <w:r w:rsidR="00EA42E3" w:rsidRPr="00EA42E3">
        <w:rPr>
          <w:rFonts w:ascii="华文楷体" w:hAnsi="华文楷体" w:hint="eastAsia"/>
          <w:b w:val="0"/>
          <w:bCs/>
          <w:smallCaps w:val="0"/>
          <w:color w:val="auto"/>
          <w:sz w:val="24"/>
          <w:szCs w:val="24"/>
        </w:rPr>
        <w:t>符合市场预期；官方非制造业PMI为51.4%，较1月回落1个百分点；综合PMI产出指数为51.6%，比1月低1.2个百分点。</w:t>
      </w:r>
    </w:p>
    <w:p w14:paraId="45C949C7" w14:textId="6A1DCB22" w:rsidR="00EA42E3" w:rsidRDefault="00EA42E3" w:rsidP="00EA42E3">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从分项来看，制造业P</w:t>
      </w:r>
      <w:r>
        <w:rPr>
          <w:rFonts w:ascii="华文楷体" w:hAnsi="华文楷体"/>
          <w:b w:val="0"/>
          <w:bCs/>
          <w:smallCaps w:val="0"/>
          <w:color w:val="auto"/>
          <w:sz w:val="24"/>
          <w:szCs w:val="24"/>
        </w:rPr>
        <w:t>MI</w:t>
      </w:r>
      <w:r>
        <w:rPr>
          <w:rFonts w:ascii="华文楷体" w:hAnsi="华文楷体" w:hint="eastAsia"/>
          <w:b w:val="0"/>
          <w:bCs/>
          <w:smallCaps w:val="0"/>
          <w:color w:val="auto"/>
          <w:sz w:val="24"/>
          <w:szCs w:val="24"/>
        </w:rPr>
        <w:t>适度回落，一定程度上受节假日因素影响，具有春节月份的季节性特征，</w:t>
      </w:r>
      <w:r w:rsidRPr="00EA42E3">
        <w:rPr>
          <w:rFonts w:ascii="华文楷体" w:hAnsi="华文楷体" w:hint="eastAsia"/>
          <w:b w:val="0"/>
          <w:bCs/>
          <w:smallCaps w:val="0"/>
          <w:color w:val="auto"/>
          <w:sz w:val="24"/>
          <w:szCs w:val="24"/>
        </w:rPr>
        <w:t>2月制造业PMI仍为2013年以来2月的较高值，仅次于2017年2月份。</w:t>
      </w:r>
      <w:r>
        <w:rPr>
          <w:rFonts w:ascii="华文楷体" w:hAnsi="华文楷体" w:hint="eastAsia"/>
          <w:b w:val="0"/>
          <w:bCs/>
          <w:smallCaps w:val="0"/>
          <w:color w:val="auto"/>
          <w:sz w:val="24"/>
          <w:szCs w:val="24"/>
        </w:rPr>
        <w:t>但从单月环比看，制造业</w:t>
      </w:r>
      <w:r>
        <w:rPr>
          <w:rFonts w:ascii="华文楷体" w:hAnsi="华文楷体"/>
          <w:b w:val="0"/>
          <w:bCs/>
          <w:smallCaps w:val="0"/>
          <w:color w:val="auto"/>
          <w:sz w:val="24"/>
          <w:szCs w:val="24"/>
        </w:rPr>
        <w:t>PMI</w:t>
      </w:r>
      <w:r>
        <w:rPr>
          <w:rFonts w:ascii="华文楷体" w:hAnsi="华文楷体" w:hint="eastAsia"/>
          <w:b w:val="0"/>
          <w:bCs/>
          <w:smallCaps w:val="0"/>
          <w:color w:val="auto"/>
          <w:sz w:val="24"/>
          <w:szCs w:val="24"/>
        </w:rPr>
        <w:t>数据近几个月持续下行为主，经济修复态势不减，但修复动力边际收敛。</w:t>
      </w:r>
    </w:p>
    <w:p w14:paraId="1406B47E" w14:textId="0F1785C2" w:rsidR="00EA42E3" w:rsidRDefault="00EA42E3" w:rsidP="00EA42E3">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制造业P</w:t>
      </w:r>
      <w:r>
        <w:rPr>
          <w:rFonts w:ascii="华文楷体" w:hAnsi="华文楷体"/>
          <w:b w:val="0"/>
          <w:bCs/>
          <w:smallCaps w:val="0"/>
          <w:color w:val="auto"/>
          <w:sz w:val="24"/>
          <w:szCs w:val="24"/>
        </w:rPr>
        <w:t>MI</w:t>
      </w:r>
      <w:r>
        <w:rPr>
          <w:rFonts w:ascii="华文楷体" w:hAnsi="华文楷体" w:hint="eastAsia"/>
          <w:b w:val="0"/>
          <w:bCs/>
          <w:smallCaps w:val="0"/>
          <w:color w:val="auto"/>
          <w:sz w:val="24"/>
          <w:szCs w:val="24"/>
        </w:rPr>
        <w:t>数据中，供给和需求两方面数据表现都一定程度边际走弱。</w:t>
      </w:r>
      <w:r w:rsidR="00F01277">
        <w:rPr>
          <w:rFonts w:ascii="华文楷体" w:hAnsi="华文楷体" w:hint="eastAsia"/>
          <w:b w:val="0"/>
          <w:bCs/>
          <w:smallCaps w:val="0"/>
          <w:color w:val="auto"/>
          <w:sz w:val="24"/>
          <w:szCs w:val="24"/>
        </w:rPr>
        <w:t>新订单和新出口</w:t>
      </w:r>
      <w:r w:rsidR="00852DA6">
        <w:rPr>
          <w:rFonts w:ascii="华文楷体" w:hAnsi="华文楷体" w:hint="eastAsia"/>
          <w:b w:val="0"/>
          <w:bCs/>
          <w:smallCaps w:val="0"/>
          <w:color w:val="auto"/>
          <w:sz w:val="24"/>
          <w:szCs w:val="24"/>
        </w:rPr>
        <w:t>分项</w:t>
      </w:r>
      <w:r w:rsidR="00F01277">
        <w:rPr>
          <w:rFonts w:ascii="华文楷体" w:hAnsi="华文楷体" w:hint="eastAsia"/>
          <w:b w:val="0"/>
          <w:bCs/>
          <w:smallCaps w:val="0"/>
          <w:color w:val="auto"/>
          <w:sz w:val="24"/>
          <w:szCs w:val="24"/>
        </w:rPr>
        <w:t>均有所下行，一定程度是受</w:t>
      </w:r>
      <w:r w:rsidR="00F01277" w:rsidRPr="00F01277">
        <w:rPr>
          <w:rFonts w:ascii="华文楷体" w:hAnsi="华文楷体" w:hint="eastAsia"/>
          <w:b w:val="0"/>
          <w:bCs/>
          <w:smallCaps w:val="0"/>
          <w:color w:val="auto"/>
          <w:sz w:val="24"/>
          <w:szCs w:val="24"/>
        </w:rPr>
        <w:t>春节假期影响企业产需扩张的节奏有所放慢</w:t>
      </w:r>
      <w:r w:rsidR="00F01277">
        <w:rPr>
          <w:rFonts w:ascii="华文楷体" w:hAnsi="华文楷体" w:hint="eastAsia"/>
          <w:b w:val="0"/>
          <w:bCs/>
          <w:smallCaps w:val="0"/>
          <w:color w:val="auto"/>
          <w:sz w:val="24"/>
          <w:szCs w:val="24"/>
        </w:rPr>
        <w:t>，</w:t>
      </w:r>
      <w:r w:rsidR="00F01277" w:rsidRPr="00F01277">
        <w:rPr>
          <w:rFonts w:ascii="华文楷体" w:hAnsi="华文楷体" w:hint="eastAsia"/>
          <w:b w:val="0"/>
          <w:bCs/>
          <w:smallCaps w:val="0"/>
          <w:color w:val="auto"/>
          <w:sz w:val="24"/>
          <w:szCs w:val="24"/>
        </w:rPr>
        <w:t>新出口订单和进口分项</w:t>
      </w:r>
      <w:r w:rsidR="00F01277">
        <w:rPr>
          <w:rFonts w:ascii="华文楷体" w:hAnsi="华文楷体" w:hint="eastAsia"/>
          <w:b w:val="0"/>
          <w:bCs/>
          <w:smallCaps w:val="0"/>
          <w:color w:val="auto"/>
          <w:sz w:val="24"/>
          <w:szCs w:val="24"/>
        </w:rPr>
        <w:t>2月</w:t>
      </w:r>
      <w:r w:rsidR="00F01277" w:rsidRPr="00F01277">
        <w:rPr>
          <w:rFonts w:ascii="华文楷体" w:hAnsi="华文楷体" w:hint="eastAsia"/>
          <w:b w:val="0"/>
          <w:bCs/>
          <w:smallCaps w:val="0"/>
          <w:color w:val="auto"/>
          <w:sz w:val="24"/>
          <w:szCs w:val="24"/>
        </w:rPr>
        <w:t>均降至荣枯线以下</w:t>
      </w:r>
      <w:r w:rsidR="00F01277">
        <w:rPr>
          <w:rFonts w:ascii="华文楷体" w:hAnsi="华文楷体" w:hint="eastAsia"/>
          <w:b w:val="0"/>
          <w:bCs/>
          <w:smallCaps w:val="0"/>
          <w:color w:val="auto"/>
          <w:sz w:val="24"/>
          <w:szCs w:val="24"/>
        </w:rPr>
        <w:t>。需求方面，</w:t>
      </w:r>
      <w:r w:rsidR="00F01277" w:rsidRPr="00F01277">
        <w:rPr>
          <w:rFonts w:ascii="华文楷体" w:hAnsi="华文楷体" w:hint="eastAsia"/>
          <w:b w:val="0"/>
          <w:bCs/>
          <w:smallCaps w:val="0"/>
          <w:color w:val="auto"/>
          <w:sz w:val="24"/>
          <w:szCs w:val="24"/>
        </w:rPr>
        <w:t>生产和采购量分项也出现</w:t>
      </w:r>
      <w:r w:rsidR="00F01277">
        <w:rPr>
          <w:rFonts w:ascii="华文楷体" w:hAnsi="华文楷体" w:hint="eastAsia"/>
          <w:b w:val="0"/>
          <w:bCs/>
          <w:smallCaps w:val="0"/>
          <w:color w:val="auto"/>
          <w:sz w:val="24"/>
          <w:szCs w:val="24"/>
        </w:rPr>
        <w:t>一定</w:t>
      </w:r>
      <w:r w:rsidR="00F01277" w:rsidRPr="00F01277">
        <w:rPr>
          <w:rFonts w:ascii="华文楷体" w:hAnsi="华文楷体" w:hint="eastAsia"/>
          <w:b w:val="0"/>
          <w:bCs/>
          <w:smallCaps w:val="0"/>
          <w:color w:val="auto"/>
          <w:sz w:val="24"/>
          <w:szCs w:val="24"/>
        </w:rPr>
        <w:t>回落。生产、采购、原材料和产成品库存有所下降，假期前后制造业生产经营活跃度下降，企业补库意愿暂时减弱。</w:t>
      </w:r>
      <w:r w:rsidR="00F01277">
        <w:rPr>
          <w:rFonts w:ascii="华文楷体" w:hAnsi="华文楷体" w:hint="eastAsia"/>
          <w:b w:val="0"/>
          <w:bCs/>
          <w:smallCaps w:val="0"/>
          <w:color w:val="auto"/>
          <w:sz w:val="24"/>
          <w:szCs w:val="24"/>
        </w:rPr>
        <w:t>价格方面，煤炭价格大幅回落，带动原材料价格下行；</w:t>
      </w:r>
      <w:r w:rsidR="00F01277" w:rsidRPr="00F01277">
        <w:rPr>
          <w:rFonts w:ascii="华文楷体" w:hAnsi="华文楷体" w:hint="eastAsia"/>
          <w:b w:val="0"/>
          <w:bCs/>
          <w:smallCaps w:val="0"/>
          <w:color w:val="auto"/>
          <w:sz w:val="24"/>
          <w:szCs w:val="24"/>
        </w:rPr>
        <w:t>产成品价格上升，体现了前期上游工业品涨价的传导影响。</w:t>
      </w:r>
    </w:p>
    <w:p w14:paraId="3CD8E409" w14:textId="1DBA6686" w:rsidR="00F01277" w:rsidRDefault="00852DA6" w:rsidP="00EA42E3">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就业分项方面，制造业、非制造业表现分化，但</w:t>
      </w:r>
      <w:r w:rsidR="00F01277" w:rsidRPr="00F01277">
        <w:rPr>
          <w:rFonts w:ascii="华文楷体" w:hAnsi="华文楷体" w:hint="eastAsia"/>
          <w:b w:val="0"/>
          <w:bCs/>
          <w:smallCaps w:val="0"/>
          <w:color w:val="auto"/>
          <w:sz w:val="24"/>
          <w:szCs w:val="24"/>
        </w:rPr>
        <w:t>均位于荣枯线以下，关注节后返岗及失业率的变动情况。</w:t>
      </w:r>
    </w:p>
    <w:p w14:paraId="0E95AA79" w14:textId="64512281" w:rsidR="00F01277" w:rsidRDefault="00F01277" w:rsidP="00EA42E3">
      <w:pPr>
        <w:pStyle w:val="Header1"/>
        <w:spacing w:before="240"/>
        <w:ind w:firstLine="480"/>
        <w:rPr>
          <w:rFonts w:ascii="华文楷体" w:hAnsi="华文楷体"/>
          <w:b w:val="0"/>
          <w:bCs/>
          <w:smallCaps w:val="0"/>
          <w:color w:val="auto"/>
          <w:sz w:val="24"/>
          <w:szCs w:val="24"/>
        </w:rPr>
      </w:pPr>
      <w:r w:rsidRPr="00F01277">
        <w:rPr>
          <w:rFonts w:ascii="华文楷体" w:hAnsi="华文楷体" w:hint="eastAsia"/>
          <w:b w:val="0"/>
          <w:bCs/>
          <w:smallCaps w:val="0"/>
          <w:color w:val="auto"/>
          <w:sz w:val="24"/>
          <w:szCs w:val="24"/>
        </w:rPr>
        <w:t>分企业类型来看，2月</w:t>
      </w:r>
      <w:proofErr w:type="gramStart"/>
      <w:r w:rsidRPr="00F01277">
        <w:rPr>
          <w:rFonts w:ascii="华文楷体" w:hAnsi="华文楷体" w:hint="eastAsia"/>
          <w:b w:val="0"/>
          <w:bCs/>
          <w:smallCaps w:val="0"/>
          <w:color w:val="auto"/>
          <w:sz w:val="24"/>
          <w:szCs w:val="24"/>
        </w:rPr>
        <w:t>各规模</w:t>
      </w:r>
      <w:proofErr w:type="gramEnd"/>
      <w:r w:rsidRPr="00F01277">
        <w:rPr>
          <w:rFonts w:ascii="华文楷体" w:hAnsi="华文楷体" w:hint="eastAsia"/>
          <w:b w:val="0"/>
          <w:bCs/>
          <w:smallCaps w:val="0"/>
          <w:color w:val="auto"/>
          <w:sz w:val="24"/>
          <w:szCs w:val="24"/>
        </w:rPr>
        <w:t>企业制造业PMI表现分化，小型企业PMI下降1.1个百分点至48.3%，仍位于荣枯线下方，景气度偏弱；中型企业PMI则下行1.8个百分点至49.6%，降至荣枯线下方；大型企业较1月回升0.1个百分点至52.2%，处于平稳扩张阶段。</w:t>
      </w:r>
    </w:p>
    <w:p w14:paraId="17A59B96" w14:textId="594F7705" w:rsidR="00F01277" w:rsidRPr="00F01277" w:rsidRDefault="00F01277" w:rsidP="00EA42E3">
      <w:pPr>
        <w:pStyle w:val="Header1"/>
        <w:spacing w:before="240"/>
        <w:ind w:firstLine="480"/>
        <w:rPr>
          <w:rFonts w:ascii="华文楷体" w:hAnsi="华文楷体"/>
          <w:b w:val="0"/>
          <w:bCs/>
          <w:smallCaps w:val="0"/>
          <w:color w:val="auto"/>
          <w:sz w:val="24"/>
          <w:szCs w:val="24"/>
        </w:rPr>
      </w:pPr>
      <w:r w:rsidRPr="00F01277">
        <w:rPr>
          <w:rFonts w:ascii="华文楷体" w:hAnsi="华文楷体" w:hint="eastAsia"/>
          <w:b w:val="0"/>
          <w:bCs/>
          <w:smallCaps w:val="0"/>
          <w:color w:val="auto"/>
          <w:sz w:val="24"/>
          <w:szCs w:val="24"/>
        </w:rPr>
        <w:t>非制造业PMI环比回落1个百分点至51.4%，其中建筑业商务活动指数为54.7%，较1月回落5.3个百分点，下行幅度较大，是拖累非制造业PMI的主要因素。新订单指数、从业人员指数分别小幅上行2.2、1.4个百分点至53.4%、54.2%</w:t>
      </w:r>
      <w:r>
        <w:rPr>
          <w:rFonts w:ascii="华文楷体" w:hAnsi="华文楷体" w:hint="eastAsia"/>
          <w:b w:val="0"/>
          <w:bCs/>
          <w:smallCaps w:val="0"/>
          <w:color w:val="auto"/>
          <w:sz w:val="24"/>
          <w:szCs w:val="24"/>
        </w:rPr>
        <w:t>。</w:t>
      </w:r>
      <w:r w:rsidRPr="00F01277">
        <w:rPr>
          <w:rFonts w:ascii="华文楷体" w:hAnsi="华文楷体" w:hint="eastAsia"/>
          <w:b w:val="0"/>
          <w:bCs/>
          <w:smallCaps w:val="0"/>
          <w:color w:val="auto"/>
          <w:sz w:val="24"/>
          <w:szCs w:val="24"/>
        </w:rPr>
        <w:t>业务活动预期指数较1月明显上行14.6个百分点达68.2%，创下2019年以来新高</w:t>
      </w:r>
      <w:r>
        <w:rPr>
          <w:rFonts w:ascii="华文楷体" w:hAnsi="华文楷体" w:hint="eastAsia"/>
          <w:b w:val="0"/>
          <w:bCs/>
          <w:smallCaps w:val="0"/>
          <w:color w:val="auto"/>
          <w:sz w:val="24"/>
          <w:szCs w:val="24"/>
        </w:rPr>
        <w:t>。</w:t>
      </w:r>
      <w:r w:rsidRPr="00F01277">
        <w:rPr>
          <w:rFonts w:ascii="华文楷体" w:hAnsi="华文楷体" w:hint="eastAsia"/>
          <w:b w:val="0"/>
          <w:bCs/>
          <w:smallCaps w:val="0"/>
          <w:color w:val="auto"/>
          <w:sz w:val="24"/>
          <w:szCs w:val="24"/>
        </w:rPr>
        <w:t>服务业商务活动指数为50.8%，环比下降0.3个百分点</w:t>
      </w:r>
      <w:r>
        <w:rPr>
          <w:rFonts w:ascii="华文楷体" w:hAnsi="华文楷体" w:hint="eastAsia"/>
          <w:b w:val="0"/>
          <w:bCs/>
          <w:smallCaps w:val="0"/>
          <w:color w:val="auto"/>
          <w:sz w:val="24"/>
          <w:szCs w:val="24"/>
        </w:rPr>
        <w:t>。</w:t>
      </w:r>
    </w:p>
    <w:p w14:paraId="6F67E1A6" w14:textId="781B23D0" w:rsidR="00300AC0" w:rsidRDefault="00300AC0" w:rsidP="00F0127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整体看，</w:t>
      </w:r>
      <w:r w:rsidR="00F01277">
        <w:rPr>
          <w:rFonts w:ascii="华文楷体" w:hAnsi="华文楷体"/>
          <w:b w:val="0"/>
          <w:bCs/>
          <w:smallCaps w:val="0"/>
          <w:color w:val="auto"/>
          <w:sz w:val="24"/>
          <w:szCs w:val="24"/>
        </w:rPr>
        <w:t>2</w:t>
      </w:r>
      <w:r w:rsidR="00F01277">
        <w:rPr>
          <w:rFonts w:ascii="华文楷体" w:hAnsi="华文楷体" w:hint="eastAsia"/>
          <w:b w:val="0"/>
          <w:bCs/>
          <w:smallCaps w:val="0"/>
          <w:color w:val="auto"/>
          <w:sz w:val="24"/>
          <w:szCs w:val="24"/>
        </w:rPr>
        <w:t>月制造业P</w:t>
      </w:r>
      <w:r w:rsidR="00F01277">
        <w:rPr>
          <w:rFonts w:ascii="华文楷体" w:hAnsi="华文楷体"/>
          <w:b w:val="0"/>
          <w:bCs/>
          <w:smallCaps w:val="0"/>
          <w:color w:val="auto"/>
          <w:sz w:val="24"/>
          <w:szCs w:val="24"/>
        </w:rPr>
        <w:t>MI</w:t>
      </w:r>
      <w:r w:rsidR="00F01277">
        <w:rPr>
          <w:rFonts w:ascii="华文楷体" w:hAnsi="华文楷体" w:hint="eastAsia"/>
          <w:b w:val="0"/>
          <w:bCs/>
          <w:smallCaps w:val="0"/>
          <w:color w:val="auto"/>
          <w:sz w:val="24"/>
          <w:szCs w:val="24"/>
        </w:rPr>
        <w:t>较1月持续回落，供需两方面表现都相对一般，一定程度上是受春节假期影响的季节性特征所致</w:t>
      </w:r>
      <w:r>
        <w:rPr>
          <w:rFonts w:ascii="华文楷体" w:hAnsi="华文楷体" w:hint="eastAsia"/>
          <w:b w:val="0"/>
          <w:bCs/>
          <w:smallCaps w:val="0"/>
          <w:color w:val="auto"/>
          <w:sz w:val="24"/>
          <w:szCs w:val="24"/>
        </w:rPr>
        <w:t>。</w:t>
      </w:r>
      <w:r w:rsidR="00F01277" w:rsidRPr="00F01277">
        <w:rPr>
          <w:rFonts w:ascii="华文楷体" w:hAnsi="华文楷体" w:hint="eastAsia"/>
          <w:b w:val="0"/>
          <w:bCs/>
          <w:smallCaps w:val="0"/>
          <w:color w:val="auto"/>
          <w:sz w:val="24"/>
          <w:szCs w:val="24"/>
        </w:rPr>
        <w:t>生产、新订单、采购等均小幅下行，体现春节假期影响下产需扩张的节奏有所放缓；原材料价格小幅下降，而出厂价格分项继续回升</w:t>
      </w:r>
      <w:r w:rsidR="00F01277">
        <w:rPr>
          <w:rFonts w:ascii="华文楷体" w:hAnsi="华文楷体" w:hint="eastAsia"/>
          <w:b w:val="0"/>
          <w:bCs/>
          <w:smallCaps w:val="0"/>
          <w:color w:val="auto"/>
          <w:sz w:val="24"/>
          <w:szCs w:val="24"/>
        </w:rPr>
        <w:t>，对后续P</w:t>
      </w:r>
      <w:r w:rsidR="00F01277">
        <w:rPr>
          <w:rFonts w:ascii="华文楷体" w:hAnsi="华文楷体"/>
          <w:b w:val="0"/>
          <w:bCs/>
          <w:smallCaps w:val="0"/>
          <w:color w:val="auto"/>
          <w:sz w:val="24"/>
          <w:szCs w:val="24"/>
        </w:rPr>
        <w:t>PI</w:t>
      </w:r>
      <w:r w:rsidR="00F01277">
        <w:rPr>
          <w:rFonts w:ascii="华文楷体" w:hAnsi="华文楷体" w:hint="eastAsia"/>
          <w:b w:val="0"/>
          <w:bCs/>
          <w:smallCaps w:val="0"/>
          <w:color w:val="auto"/>
          <w:sz w:val="24"/>
          <w:szCs w:val="24"/>
        </w:rPr>
        <w:t>环比增速持续高位震荡可能产生支撑。</w:t>
      </w:r>
    </w:p>
    <w:p w14:paraId="4439D8E0" w14:textId="28385E91" w:rsidR="00F01277" w:rsidRDefault="00F01277" w:rsidP="00F01277">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市场策略上，近期P</w:t>
      </w:r>
      <w:r>
        <w:rPr>
          <w:rFonts w:ascii="华文楷体" w:hAnsi="华文楷体"/>
          <w:b w:val="0"/>
          <w:bCs/>
          <w:smallCaps w:val="0"/>
          <w:color w:val="auto"/>
          <w:sz w:val="24"/>
          <w:szCs w:val="24"/>
        </w:rPr>
        <w:t>MI</w:t>
      </w:r>
      <w:r>
        <w:rPr>
          <w:rFonts w:ascii="华文楷体" w:hAnsi="华文楷体" w:hint="eastAsia"/>
          <w:b w:val="0"/>
          <w:bCs/>
          <w:smallCaps w:val="0"/>
          <w:color w:val="auto"/>
          <w:sz w:val="24"/>
          <w:szCs w:val="24"/>
        </w:rPr>
        <w:t>数据持续回落，基本符合预期，但是一定程度上也体现了经济修复是一个循序渐进的过程，</w:t>
      </w:r>
      <w:r w:rsidR="003409B2">
        <w:rPr>
          <w:rFonts w:ascii="华文楷体" w:hAnsi="华文楷体" w:hint="eastAsia"/>
          <w:b w:val="0"/>
          <w:bCs/>
          <w:smallCaps w:val="0"/>
          <w:color w:val="auto"/>
          <w:sz w:val="24"/>
          <w:szCs w:val="24"/>
        </w:rPr>
        <w:t>关注后续中</w:t>
      </w:r>
      <w:proofErr w:type="gramStart"/>
      <w:r w:rsidR="003409B2">
        <w:rPr>
          <w:rFonts w:ascii="华文楷体" w:hAnsi="华文楷体" w:hint="eastAsia"/>
          <w:b w:val="0"/>
          <w:bCs/>
          <w:smallCaps w:val="0"/>
          <w:color w:val="auto"/>
          <w:sz w:val="24"/>
          <w:szCs w:val="24"/>
        </w:rPr>
        <w:t>观数据</w:t>
      </w:r>
      <w:proofErr w:type="gramEnd"/>
      <w:r w:rsidR="003409B2">
        <w:rPr>
          <w:rFonts w:ascii="华文楷体" w:hAnsi="华文楷体" w:hint="eastAsia"/>
          <w:b w:val="0"/>
          <w:bCs/>
          <w:smallCaps w:val="0"/>
          <w:color w:val="auto"/>
          <w:sz w:val="24"/>
          <w:szCs w:val="24"/>
        </w:rPr>
        <w:t>及两会政策会议召开情况。</w:t>
      </w:r>
    </w:p>
    <w:p w14:paraId="08341563" w14:textId="77777777" w:rsidR="00F01277" w:rsidRDefault="00F01277" w:rsidP="00F01277">
      <w:pPr>
        <w:pStyle w:val="Header1"/>
        <w:spacing w:before="240"/>
        <w:ind w:firstLine="480"/>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lastRenderedPageBreak/>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2A557DB7"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3C6AC1">
        <w:rPr>
          <w:rFonts w:ascii="华文楷体" w:hAnsi="华文楷体" w:hint="eastAsia"/>
          <w:sz w:val="24"/>
          <w:szCs w:val="24"/>
          <w:lang w:eastAsia="zh-CN"/>
        </w:rPr>
        <w:t>净</w:t>
      </w:r>
      <w:r w:rsidR="003E35B0">
        <w:rPr>
          <w:rFonts w:ascii="华文楷体" w:hAnsi="华文楷体" w:hint="eastAsia"/>
          <w:sz w:val="24"/>
          <w:szCs w:val="24"/>
          <w:lang w:eastAsia="zh-CN"/>
        </w:rPr>
        <w:t>回笼</w:t>
      </w:r>
      <w:r w:rsidR="009C77AF">
        <w:rPr>
          <w:rFonts w:ascii="华文楷体" w:hAnsi="华文楷体"/>
          <w:sz w:val="24"/>
          <w:szCs w:val="24"/>
          <w:lang w:eastAsia="zh-CN"/>
        </w:rPr>
        <w:t>15</w:t>
      </w:r>
      <w:r w:rsidR="003E35B0">
        <w:rPr>
          <w:rFonts w:ascii="华文楷体" w:hAnsi="华文楷体"/>
          <w:sz w:val="24"/>
          <w:szCs w:val="24"/>
          <w:lang w:eastAsia="zh-CN"/>
        </w:rPr>
        <w:t>0</w:t>
      </w:r>
      <w:r w:rsidR="00DC4A12">
        <w:rPr>
          <w:rFonts w:ascii="华文楷体" w:hAnsi="华文楷体" w:hint="eastAsia"/>
          <w:sz w:val="24"/>
          <w:szCs w:val="24"/>
          <w:lang w:eastAsia="zh-CN"/>
        </w:rPr>
        <w:t>亿</w:t>
      </w:r>
      <w:r w:rsidR="003E35B0">
        <w:rPr>
          <w:rFonts w:ascii="华文楷体" w:hAnsi="华文楷体" w:hint="eastAsia"/>
          <w:sz w:val="24"/>
          <w:szCs w:val="24"/>
          <w:lang w:eastAsia="zh-CN"/>
        </w:rPr>
        <w:t>，</w:t>
      </w:r>
      <w:r w:rsidR="009C77AF">
        <w:rPr>
          <w:rFonts w:ascii="华文楷体" w:hAnsi="华文楷体" w:hint="eastAsia"/>
          <w:sz w:val="24"/>
          <w:szCs w:val="24"/>
          <w:lang w:eastAsia="zh-CN"/>
        </w:rPr>
        <w:t>虽然为月末最后一周，但</w:t>
      </w:r>
      <w:r w:rsidR="003E35B0">
        <w:rPr>
          <w:rFonts w:ascii="华文楷体" w:hAnsi="华文楷体" w:hint="eastAsia"/>
          <w:sz w:val="24"/>
          <w:szCs w:val="24"/>
          <w:lang w:eastAsia="zh-CN"/>
        </w:rPr>
        <w:t>资金</w:t>
      </w:r>
      <w:proofErr w:type="gramStart"/>
      <w:r w:rsidR="003E35B0">
        <w:rPr>
          <w:rFonts w:ascii="华文楷体" w:hAnsi="华文楷体" w:hint="eastAsia"/>
          <w:sz w:val="24"/>
          <w:szCs w:val="24"/>
          <w:lang w:eastAsia="zh-CN"/>
        </w:rPr>
        <w:t>面整体</w:t>
      </w:r>
      <w:proofErr w:type="gramEnd"/>
      <w:r w:rsidR="003E35B0">
        <w:rPr>
          <w:rFonts w:ascii="华文楷体" w:hAnsi="华文楷体" w:hint="eastAsia"/>
          <w:sz w:val="24"/>
          <w:szCs w:val="24"/>
          <w:lang w:eastAsia="zh-CN"/>
        </w:rPr>
        <w:t>相对平稳</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9C77AF">
        <w:rPr>
          <w:rFonts w:ascii="华文楷体" w:hAnsi="华文楷体" w:hint="eastAsia"/>
          <w:sz w:val="24"/>
          <w:szCs w:val="24"/>
          <w:lang w:eastAsia="zh-CN"/>
        </w:rPr>
        <w:t>上</w:t>
      </w:r>
      <w:r w:rsidR="007F77B5">
        <w:rPr>
          <w:rFonts w:ascii="华文楷体" w:hAnsi="华文楷体" w:hint="eastAsia"/>
          <w:sz w:val="24"/>
          <w:szCs w:val="24"/>
          <w:lang w:eastAsia="zh-CN"/>
        </w:rPr>
        <w:t>行</w:t>
      </w:r>
      <w:r w:rsidR="009C77AF">
        <w:rPr>
          <w:rFonts w:ascii="华文楷体" w:hAnsi="华文楷体"/>
          <w:sz w:val="24"/>
          <w:szCs w:val="24"/>
          <w:lang w:eastAsia="zh-CN"/>
        </w:rPr>
        <w:t>77</w:t>
      </w:r>
      <w:r w:rsidR="00D9413F">
        <w:rPr>
          <w:rFonts w:ascii="华文楷体" w:hAnsi="华文楷体" w:hint="eastAsia"/>
          <w:sz w:val="24"/>
          <w:szCs w:val="24"/>
          <w:lang w:eastAsia="zh-CN"/>
        </w:rPr>
        <w:t>BP至</w:t>
      </w:r>
      <w:r w:rsidR="009C77AF">
        <w:rPr>
          <w:rFonts w:ascii="华文楷体" w:hAnsi="华文楷体"/>
          <w:sz w:val="24"/>
          <w:szCs w:val="24"/>
          <w:lang w:eastAsia="zh-CN"/>
        </w:rPr>
        <w:t>2.21</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9C77AF">
        <w:rPr>
          <w:rFonts w:ascii="华文楷体" w:hAnsi="华文楷体" w:hint="eastAsia"/>
          <w:sz w:val="24"/>
          <w:szCs w:val="24"/>
          <w:lang w:eastAsia="zh-CN"/>
        </w:rPr>
        <w:t>上行3</w:t>
      </w:r>
      <w:r w:rsidR="009C77AF">
        <w:rPr>
          <w:rFonts w:ascii="华文楷体" w:hAnsi="华文楷体"/>
          <w:sz w:val="24"/>
          <w:szCs w:val="24"/>
          <w:lang w:eastAsia="zh-CN"/>
        </w:rPr>
        <w:t>2</w:t>
      </w:r>
      <w:r w:rsidR="00D9413F">
        <w:rPr>
          <w:rFonts w:ascii="华文楷体" w:hAnsi="华文楷体" w:hint="eastAsia"/>
          <w:sz w:val="24"/>
          <w:szCs w:val="24"/>
          <w:lang w:eastAsia="zh-CN"/>
        </w:rPr>
        <w:t>BP至</w:t>
      </w:r>
      <w:r w:rsidR="007F77B5">
        <w:rPr>
          <w:rFonts w:ascii="华文楷体" w:hAnsi="华文楷体"/>
          <w:sz w:val="24"/>
          <w:szCs w:val="24"/>
          <w:lang w:eastAsia="zh-CN"/>
        </w:rPr>
        <w:t>2.</w:t>
      </w:r>
      <w:r w:rsidR="009C77AF">
        <w:rPr>
          <w:rFonts w:ascii="华文楷体" w:hAnsi="华文楷体"/>
          <w:sz w:val="24"/>
          <w:szCs w:val="24"/>
          <w:lang w:eastAsia="zh-CN"/>
        </w:rPr>
        <w:t>37</w:t>
      </w:r>
      <w:r>
        <w:rPr>
          <w:rFonts w:ascii="华文楷体" w:hAnsi="华文楷体" w:hint="eastAsia"/>
          <w:sz w:val="24"/>
          <w:szCs w:val="24"/>
          <w:lang w:eastAsia="zh-CN"/>
        </w:rPr>
        <w:t>%</w:t>
      </w:r>
      <w:r w:rsidR="007F77B5">
        <w:rPr>
          <w:rFonts w:ascii="华文楷体" w:hAnsi="华文楷体" w:hint="eastAsia"/>
          <w:sz w:val="24"/>
          <w:szCs w:val="24"/>
          <w:lang w:eastAsia="zh-CN"/>
        </w:rPr>
        <w:t>，银行间开盘利率</w:t>
      </w:r>
      <w:r w:rsidR="00FF2720">
        <w:rPr>
          <w:rFonts w:ascii="华文楷体" w:hAnsi="华文楷体" w:hint="eastAsia"/>
          <w:sz w:val="24"/>
          <w:szCs w:val="24"/>
          <w:lang w:eastAsia="zh-CN"/>
        </w:rPr>
        <w:t>回归至隔夜2</w:t>
      </w:r>
      <w:r w:rsidR="00FF2720">
        <w:rPr>
          <w:rFonts w:ascii="华文楷体" w:hAnsi="华文楷体"/>
          <w:sz w:val="24"/>
          <w:szCs w:val="24"/>
          <w:lang w:eastAsia="zh-CN"/>
        </w:rPr>
        <w:t>.1</w:t>
      </w:r>
      <w:r w:rsidR="00FF2720">
        <w:rPr>
          <w:rFonts w:ascii="华文楷体" w:hAnsi="华文楷体" w:hint="eastAsia"/>
          <w:sz w:val="24"/>
          <w:szCs w:val="24"/>
          <w:lang w:eastAsia="zh-CN"/>
        </w:rPr>
        <w:t>%，7天2</w:t>
      </w:r>
      <w:r w:rsidR="00FF2720">
        <w:rPr>
          <w:rFonts w:ascii="华文楷体" w:hAnsi="华文楷体"/>
          <w:sz w:val="24"/>
          <w:szCs w:val="24"/>
          <w:lang w:eastAsia="zh-CN"/>
        </w:rPr>
        <w:t>.2</w:t>
      </w:r>
      <w:r w:rsidR="00FF2720">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开盘利率持续稳定</w:t>
      </w:r>
      <w:r w:rsidR="007F77B5">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9C77AF">
        <w:tblPrEx>
          <w:tblCellMar>
            <w:left w:w="108" w:type="dxa"/>
            <w:right w:w="108" w:type="dxa"/>
          </w:tblCellMar>
        </w:tblPrEx>
        <w:trPr>
          <w:jc w:val="center"/>
        </w:trPr>
        <w:tc>
          <w:tcPr>
            <w:tcW w:w="4939" w:type="dxa"/>
            <w:vAlign w:val="center"/>
          </w:tcPr>
          <w:p w14:paraId="60AEAEDC" w14:textId="0131F843" w:rsidR="00E0626C" w:rsidRPr="003C6AC1" w:rsidRDefault="009C77AF" w:rsidP="009A2BA0">
            <w:pPr>
              <w:jc w:val="center"/>
              <w:rPr>
                <w:noProof/>
                <w:sz w:val="20"/>
              </w:rPr>
            </w:pPr>
            <w:r>
              <w:rPr>
                <w:noProof/>
              </w:rPr>
              <w:drawing>
                <wp:inline distT="0" distB="0" distL="0" distR="0" wp14:anchorId="750DE373" wp14:editId="7A2C94D9">
                  <wp:extent cx="2999105" cy="1751965"/>
                  <wp:effectExtent l="0" t="0" r="0" b="635"/>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08084818" w:rsidR="00E0626C" w:rsidRPr="00F62F43" w:rsidRDefault="009C77AF" w:rsidP="009A2BA0">
            <w:pPr>
              <w:jc w:val="center"/>
              <w:rPr>
                <w:noProof/>
                <w:sz w:val="16"/>
                <w:szCs w:val="18"/>
              </w:rPr>
            </w:pPr>
            <w:r>
              <w:rPr>
                <w:noProof/>
              </w:rPr>
              <w:drawing>
                <wp:inline distT="0" distB="0" distL="0" distR="0" wp14:anchorId="40C2644F" wp14:editId="12FBDBB4">
                  <wp:extent cx="2998470" cy="1760611"/>
                  <wp:effectExtent l="0" t="0" r="0" b="0"/>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0BF9F439" w:rsidR="00A917BC" w:rsidRPr="00A917BC" w:rsidRDefault="00AA61F2"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1</w:t>
      </w:r>
      <w:r>
        <w:rPr>
          <w:rFonts w:ascii="华文楷体" w:hAnsi="华文楷体"/>
          <w:sz w:val="24"/>
          <w:szCs w:val="24"/>
          <w:lang w:eastAsia="zh-CN"/>
        </w:rPr>
        <w:t>Y</w:t>
      </w:r>
      <w:r>
        <w:rPr>
          <w:rFonts w:ascii="华文楷体" w:hAnsi="华文楷体" w:hint="eastAsia"/>
          <w:sz w:val="24"/>
          <w:szCs w:val="24"/>
          <w:lang w:eastAsia="zh-CN"/>
        </w:rPr>
        <w:t>以内期限品种持续</w:t>
      </w:r>
      <w:r w:rsidR="00C01AAA">
        <w:rPr>
          <w:rFonts w:ascii="华文楷体" w:hAnsi="华文楷体" w:hint="eastAsia"/>
          <w:sz w:val="24"/>
          <w:szCs w:val="24"/>
          <w:lang w:eastAsia="zh-CN"/>
        </w:rPr>
        <w:t>修复，</w:t>
      </w:r>
      <w:r w:rsidR="00DB5693">
        <w:rPr>
          <w:rFonts w:ascii="华文楷体" w:hAnsi="华文楷体" w:hint="eastAsia"/>
          <w:sz w:val="24"/>
          <w:szCs w:val="24"/>
          <w:lang w:eastAsia="zh-CN"/>
        </w:rPr>
        <w:t>但下行修复幅度适度收敛，</w:t>
      </w:r>
      <w:r w:rsidR="00C01AAA">
        <w:rPr>
          <w:rFonts w:ascii="华文楷体" w:hAnsi="华文楷体" w:hint="eastAsia"/>
          <w:sz w:val="24"/>
          <w:szCs w:val="24"/>
          <w:lang w:eastAsia="zh-CN"/>
        </w:rPr>
        <w:t>中长</w:t>
      </w:r>
      <w:proofErr w:type="gramStart"/>
      <w:r w:rsidR="00C01AAA">
        <w:rPr>
          <w:rFonts w:ascii="华文楷体" w:hAnsi="华文楷体" w:hint="eastAsia"/>
          <w:sz w:val="24"/>
          <w:szCs w:val="24"/>
          <w:lang w:eastAsia="zh-CN"/>
        </w:rPr>
        <w:t>端</w:t>
      </w:r>
      <w:r w:rsidR="00DB5693">
        <w:rPr>
          <w:rFonts w:ascii="华文楷体" w:hAnsi="华文楷体" w:hint="eastAsia"/>
          <w:sz w:val="24"/>
          <w:szCs w:val="24"/>
          <w:lang w:eastAsia="zh-CN"/>
        </w:rPr>
        <w:t>持续</w:t>
      </w:r>
      <w:proofErr w:type="gramEnd"/>
      <w:r w:rsidR="00DB5693">
        <w:rPr>
          <w:rFonts w:ascii="华文楷体" w:hAnsi="华文楷体" w:hint="eastAsia"/>
          <w:sz w:val="24"/>
          <w:szCs w:val="24"/>
          <w:lang w:eastAsia="zh-CN"/>
        </w:rPr>
        <w:t>震荡小幅</w:t>
      </w:r>
      <w:r w:rsidR="00C01AAA">
        <w:rPr>
          <w:rFonts w:ascii="华文楷体" w:hAnsi="华文楷体" w:hint="eastAsia"/>
          <w:sz w:val="24"/>
          <w:szCs w:val="24"/>
          <w:lang w:eastAsia="zh-CN"/>
        </w:rPr>
        <w:t>上行，</w:t>
      </w:r>
      <w:r w:rsidR="00DB5693">
        <w:rPr>
          <w:rFonts w:ascii="华文楷体" w:hAnsi="华文楷体" w:hint="eastAsia"/>
          <w:sz w:val="24"/>
          <w:szCs w:val="24"/>
          <w:lang w:eastAsia="zh-CN"/>
        </w:rPr>
        <w:t>近期利率债供给适度增加，且市场关注两会期间财政政策定调情况，中长</w:t>
      </w:r>
      <w:proofErr w:type="gramStart"/>
      <w:r w:rsidR="00DB5693">
        <w:rPr>
          <w:rFonts w:ascii="华文楷体" w:hAnsi="华文楷体" w:hint="eastAsia"/>
          <w:sz w:val="24"/>
          <w:szCs w:val="24"/>
          <w:lang w:eastAsia="zh-CN"/>
        </w:rPr>
        <w:t>端情绪</w:t>
      </w:r>
      <w:proofErr w:type="gramEnd"/>
      <w:r w:rsidR="00DB5693">
        <w:rPr>
          <w:rFonts w:ascii="华文楷体" w:hAnsi="华文楷体" w:hint="eastAsia"/>
          <w:sz w:val="24"/>
          <w:szCs w:val="24"/>
          <w:lang w:eastAsia="zh-CN"/>
        </w:rPr>
        <w:t>一般</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DB5693">
        <w:rPr>
          <w:rFonts w:ascii="华文楷体" w:hAnsi="华文楷体"/>
          <w:sz w:val="24"/>
          <w:szCs w:val="24"/>
          <w:lang w:eastAsia="zh-CN"/>
        </w:rPr>
        <w:t>67.62</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DB5693">
        <w:rPr>
          <w:rFonts w:ascii="华文楷体" w:hAnsi="华文楷体"/>
          <w:sz w:val="24"/>
          <w:szCs w:val="24"/>
          <w:lang w:eastAsia="zh-CN"/>
        </w:rPr>
        <w:t>101.62</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A917BC">
        <w:rPr>
          <w:rFonts w:ascii="华文楷体" w:hAnsi="华文楷体" w:hint="eastAsia"/>
          <w:sz w:val="24"/>
          <w:szCs w:val="24"/>
          <w:lang w:eastAsia="zh-CN"/>
        </w:rPr>
        <w:t>上行</w:t>
      </w:r>
      <w:r w:rsidR="003F68B2">
        <w:rPr>
          <w:rFonts w:ascii="华文楷体" w:hAnsi="华文楷体"/>
          <w:sz w:val="24"/>
          <w:szCs w:val="24"/>
          <w:lang w:eastAsia="zh-CN"/>
        </w:rPr>
        <w:t>1.</w:t>
      </w:r>
      <w:r w:rsidR="00DB5693">
        <w:rPr>
          <w:rFonts w:ascii="华文楷体" w:hAnsi="华文楷体"/>
          <w:sz w:val="24"/>
          <w:szCs w:val="24"/>
          <w:lang w:eastAsia="zh-CN"/>
        </w:rPr>
        <w:t>9</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A917BC">
        <w:rPr>
          <w:rFonts w:ascii="华文楷体" w:hAnsi="华文楷体" w:hint="eastAsia"/>
          <w:sz w:val="24"/>
          <w:szCs w:val="24"/>
          <w:lang w:eastAsia="zh-CN"/>
        </w:rPr>
        <w:t>上</w:t>
      </w:r>
      <w:r w:rsidR="007905FA">
        <w:rPr>
          <w:rFonts w:ascii="华文楷体" w:hAnsi="华文楷体" w:hint="eastAsia"/>
          <w:sz w:val="24"/>
          <w:szCs w:val="24"/>
          <w:lang w:eastAsia="zh-CN"/>
        </w:rPr>
        <w:t>行</w:t>
      </w:r>
      <w:proofErr w:type="gramEnd"/>
      <w:r w:rsidR="00DB5693">
        <w:rPr>
          <w:rFonts w:ascii="华文楷体" w:hAnsi="华文楷体"/>
          <w:sz w:val="24"/>
          <w:szCs w:val="24"/>
          <w:lang w:eastAsia="zh-CN"/>
        </w:rPr>
        <w:t>1.3</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4F02B1">
        <w:rPr>
          <w:rFonts w:ascii="华文楷体" w:hAnsi="华文楷体" w:hint="eastAsia"/>
          <w:sz w:val="24"/>
          <w:szCs w:val="24"/>
          <w:lang w:eastAsia="zh-CN"/>
        </w:rPr>
        <w:t>维持</w:t>
      </w:r>
      <w:proofErr w:type="gramEnd"/>
      <w:r w:rsidR="004F02B1">
        <w:rPr>
          <w:rFonts w:ascii="华文楷体" w:hAnsi="华文楷体" w:hint="eastAsia"/>
          <w:sz w:val="24"/>
          <w:szCs w:val="24"/>
          <w:lang w:eastAsia="zh-CN"/>
        </w:rPr>
        <w:t>在</w:t>
      </w:r>
      <w:r w:rsidR="00DB5693">
        <w:rPr>
          <w:rFonts w:ascii="华文楷体" w:hAnsi="华文楷体"/>
          <w:sz w:val="24"/>
          <w:szCs w:val="24"/>
          <w:lang w:eastAsia="zh-CN"/>
        </w:rPr>
        <w:t>47</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DB5693">
        <w:tblPrEx>
          <w:tblCellMar>
            <w:left w:w="108" w:type="dxa"/>
            <w:right w:w="108" w:type="dxa"/>
          </w:tblCellMar>
        </w:tblPrEx>
        <w:trPr>
          <w:jc w:val="center"/>
        </w:trPr>
        <w:tc>
          <w:tcPr>
            <w:tcW w:w="4939" w:type="dxa"/>
            <w:vAlign w:val="center"/>
          </w:tcPr>
          <w:p w14:paraId="678C97B0" w14:textId="5D74A6FC" w:rsidR="00E0626C" w:rsidRPr="007E0340" w:rsidRDefault="003A20B9" w:rsidP="002104B2">
            <w:pPr>
              <w:rPr>
                <w:noProof/>
              </w:rPr>
            </w:pPr>
            <w:r>
              <w:rPr>
                <w:noProof/>
              </w:rPr>
              <w:drawing>
                <wp:inline distT="0" distB="0" distL="0" distR="0" wp14:anchorId="5F3703F6" wp14:editId="7DC7D987">
                  <wp:extent cx="2999105" cy="1753723"/>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0495F3E1" w:rsidR="00E0626C" w:rsidRPr="007E0340" w:rsidRDefault="00DB5693" w:rsidP="009A2BA0">
            <w:pPr>
              <w:jc w:val="center"/>
              <w:rPr>
                <w:noProof/>
                <w:szCs w:val="18"/>
              </w:rPr>
            </w:pPr>
            <w:r>
              <w:rPr>
                <w:noProof/>
              </w:rPr>
              <w:drawing>
                <wp:inline distT="0" distB="0" distL="0" distR="0" wp14:anchorId="07B9A4CE" wp14:editId="76F117A9">
                  <wp:extent cx="2998470" cy="1780344"/>
                  <wp:effectExtent l="0" t="0" r="0" b="0"/>
                  <wp:docPr id="7" name="图表 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10360B4E"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9C2ACE">
        <w:rPr>
          <w:rFonts w:ascii="华文楷体" w:hAnsi="华文楷体" w:hint="eastAsia"/>
          <w:sz w:val="24"/>
          <w:szCs w:val="24"/>
          <w:lang w:eastAsia="zh-CN"/>
        </w:rPr>
        <w:t>多数品种收益率适度下行为主，</w:t>
      </w:r>
      <w:r w:rsidR="00EF3B44">
        <w:rPr>
          <w:rFonts w:ascii="华文楷体" w:hAnsi="华文楷体" w:hint="eastAsia"/>
          <w:sz w:val="24"/>
          <w:szCs w:val="24"/>
          <w:lang w:eastAsia="zh-CN"/>
        </w:rPr>
        <w:t>A</w:t>
      </w:r>
      <w:r w:rsidR="00EF3B44">
        <w:rPr>
          <w:rFonts w:ascii="华文楷体" w:hAnsi="华文楷体"/>
          <w:sz w:val="24"/>
          <w:szCs w:val="24"/>
          <w:lang w:eastAsia="zh-CN"/>
        </w:rPr>
        <w:t>A</w:t>
      </w:r>
      <w:r w:rsidR="00EF3B44">
        <w:rPr>
          <w:rFonts w:ascii="华文楷体" w:hAnsi="华文楷体" w:hint="eastAsia"/>
          <w:sz w:val="24"/>
          <w:szCs w:val="24"/>
          <w:lang w:eastAsia="zh-CN"/>
        </w:rPr>
        <w:t>+评级的5年中票和3年</w:t>
      </w:r>
      <w:proofErr w:type="gramStart"/>
      <w:r w:rsidR="00EF3B44">
        <w:rPr>
          <w:rFonts w:ascii="华文楷体" w:hAnsi="华文楷体" w:hint="eastAsia"/>
          <w:sz w:val="24"/>
          <w:szCs w:val="24"/>
          <w:lang w:eastAsia="zh-CN"/>
        </w:rPr>
        <w:t>城投债下行</w:t>
      </w:r>
      <w:proofErr w:type="gramEnd"/>
      <w:r w:rsidR="00EF3B44">
        <w:rPr>
          <w:rFonts w:ascii="华文楷体" w:hAnsi="华文楷体" w:hint="eastAsia"/>
          <w:sz w:val="24"/>
          <w:szCs w:val="24"/>
          <w:lang w:eastAsia="zh-CN"/>
        </w:rPr>
        <w:t>修复幅度相对明显</w:t>
      </w:r>
      <w:r w:rsidR="00A917BC">
        <w:rPr>
          <w:rFonts w:ascii="华文楷体" w:hAnsi="华文楷体" w:hint="eastAsia"/>
          <w:sz w:val="24"/>
          <w:szCs w:val="24"/>
          <w:lang w:eastAsia="zh-CN"/>
        </w:rPr>
        <w:t>。</w:t>
      </w:r>
      <w:r w:rsidR="0081665A">
        <w:rPr>
          <w:rFonts w:ascii="华文楷体" w:hAnsi="华文楷体" w:hint="eastAsia"/>
          <w:sz w:val="24"/>
          <w:szCs w:val="24"/>
          <w:lang w:eastAsia="zh-CN"/>
        </w:rPr>
        <w:t>全周来看，1</w:t>
      </w:r>
      <w:r w:rsidR="0081665A">
        <w:rPr>
          <w:rFonts w:ascii="华文楷体" w:hAnsi="华文楷体"/>
          <w:sz w:val="24"/>
          <w:szCs w:val="24"/>
          <w:lang w:eastAsia="zh-CN"/>
        </w:rPr>
        <w:t>Y</w:t>
      </w:r>
      <w:r w:rsidR="0081665A">
        <w:rPr>
          <w:rFonts w:ascii="华文楷体" w:hAnsi="华文楷体" w:hint="eastAsia"/>
          <w:sz w:val="24"/>
          <w:szCs w:val="24"/>
          <w:lang w:eastAsia="zh-CN"/>
        </w:rPr>
        <w:t>中短期票据</w:t>
      </w:r>
      <w:r w:rsidR="00EF3B44">
        <w:rPr>
          <w:rFonts w:ascii="华文楷体" w:hAnsi="华文楷体" w:hint="eastAsia"/>
          <w:sz w:val="24"/>
          <w:szCs w:val="24"/>
          <w:lang w:eastAsia="zh-CN"/>
        </w:rPr>
        <w:t>伴随资金</w:t>
      </w:r>
      <w:proofErr w:type="gramStart"/>
      <w:r w:rsidR="00EF3B44">
        <w:rPr>
          <w:rFonts w:ascii="华文楷体" w:hAnsi="华文楷体" w:hint="eastAsia"/>
          <w:sz w:val="24"/>
          <w:szCs w:val="24"/>
          <w:lang w:eastAsia="zh-CN"/>
        </w:rPr>
        <w:t>面回归</w:t>
      </w:r>
      <w:proofErr w:type="gramEnd"/>
      <w:r w:rsidR="00EF3B44">
        <w:rPr>
          <w:rFonts w:ascii="华文楷体" w:hAnsi="华文楷体" w:hint="eastAsia"/>
          <w:sz w:val="24"/>
          <w:szCs w:val="24"/>
          <w:lang w:eastAsia="zh-CN"/>
        </w:rPr>
        <w:t>中枢下行明显，</w:t>
      </w:r>
      <w:r w:rsidR="00453A8C">
        <w:rPr>
          <w:rFonts w:ascii="华文楷体" w:hAnsi="华文楷体" w:hint="eastAsia"/>
          <w:sz w:val="24"/>
          <w:szCs w:val="24"/>
          <w:lang w:eastAsia="zh-CN"/>
        </w:rPr>
        <w:t>幅度在</w:t>
      </w:r>
      <w:r w:rsidR="00EF3B44">
        <w:rPr>
          <w:rFonts w:ascii="华文楷体" w:hAnsi="华文楷体"/>
          <w:sz w:val="24"/>
          <w:szCs w:val="24"/>
          <w:lang w:eastAsia="zh-CN"/>
        </w:rPr>
        <w:t>7</w:t>
      </w:r>
      <w:r w:rsidR="00EF3B44">
        <w:rPr>
          <w:rFonts w:ascii="华文楷体" w:hAnsi="华文楷体" w:hint="eastAsia"/>
          <w:sz w:val="24"/>
          <w:szCs w:val="24"/>
          <w:lang w:eastAsia="zh-CN"/>
        </w:rPr>
        <w:t>-</w:t>
      </w:r>
      <w:r w:rsidR="00EF3B44">
        <w:rPr>
          <w:rFonts w:ascii="华文楷体" w:hAnsi="华文楷体"/>
          <w:sz w:val="24"/>
          <w:szCs w:val="24"/>
          <w:lang w:eastAsia="zh-CN"/>
        </w:rPr>
        <w:t>9</w:t>
      </w:r>
      <w:r w:rsidR="00453A8C">
        <w:rPr>
          <w:rFonts w:ascii="华文楷体" w:hAnsi="华文楷体"/>
          <w:sz w:val="24"/>
          <w:szCs w:val="24"/>
          <w:lang w:eastAsia="zh-CN"/>
        </w:rPr>
        <w:t>BP</w:t>
      </w:r>
      <w:r w:rsidR="00EF3B44">
        <w:rPr>
          <w:rFonts w:ascii="华文楷体" w:hAnsi="华文楷体" w:hint="eastAsia"/>
          <w:sz w:val="24"/>
          <w:szCs w:val="24"/>
          <w:lang w:eastAsia="zh-CN"/>
        </w:rPr>
        <w:t>；</w:t>
      </w:r>
      <w:r w:rsidR="0081665A">
        <w:rPr>
          <w:rFonts w:ascii="华文楷体" w:hAnsi="华文楷体" w:hint="eastAsia"/>
          <w:sz w:val="24"/>
          <w:szCs w:val="24"/>
          <w:lang w:eastAsia="zh-CN"/>
        </w:rPr>
        <w:t>3</w:t>
      </w:r>
      <w:r w:rsidR="0081665A">
        <w:rPr>
          <w:rFonts w:ascii="华文楷体" w:hAnsi="华文楷体"/>
          <w:sz w:val="24"/>
          <w:szCs w:val="24"/>
          <w:lang w:eastAsia="zh-CN"/>
        </w:rPr>
        <w:t>Y</w:t>
      </w:r>
      <w:r w:rsidR="0081665A">
        <w:rPr>
          <w:rFonts w:ascii="华文楷体" w:hAnsi="华文楷体" w:hint="eastAsia"/>
          <w:sz w:val="24"/>
          <w:szCs w:val="24"/>
          <w:lang w:eastAsia="zh-CN"/>
        </w:rPr>
        <w:t>中票、企业债</w:t>
      </w:r>
      <w:r w:rsidR="00EF3B44">
        <w:rPr>
          <w:rFonts w:ascii="华文楷体" w:hAnsi="华文楷体" w:hint="eastAsia"/>
          <w:sz w:val="24"/>
          <w:szCs w:val="24"/>
          <w:lang w:eastAsia="zh-CN"/>
        </w:rPr>
        <w:t>对数品种下</w:t>
      </w:r>
      <w:r w:rsidR="0081665A">
        <w:rPr>
          <w:rFonts w:ascii="华文楷体" w:hAnsi="华文楷体" w:hint="eastAsia"/>
          <w:sz w:val="24"/>
          <w:szCs w:val="24"/>
          <w:lang w:eastAsia="zh-CN"/>
        </w:rPr>
        <w:t>行</w:t>
      </w:r>
      <w:r w:rsidR="00491CA1">
        <w:rPr>
          <w:rFonts w:ascii="华文楷体" w:hAnsi="华文楷体"/>
          <w:sz w:val="24"/>
          <w:szCs w:val="24"/>
          <w:lang w:eastAsia="zh-CN"/>
        </w:rPr>
        <w:t>2</w:t>
      </w:r>
      <w:r w:rsidR="00491CA1">
        <w:rPr>
          <w:rFonts w:ascii="华文楷体" w:hAnsi="华文楷体" w:hint="eastAsia"/>
          <w:sz w:val="24"/>
          <w:szCs w:val="24"/>
          <w:lang w:eastAsia="zh-CN"/>
        </w:rPr>
        <w:t>-</w:t>
      </w:r>
      <w:r w:rsidR="00EF3B44">
        <w:rPr>
          <w:rFonts w:ascii="华文楷体" w:hAnsi="华文楷体"/>
          <w:sz w:val="24"/>
          <w:szCs w:val="24"/>
          <w:lang w:eastAsia="zh-CN"/>
        </w:rPr>
        <w:t>6</w:t>
      </w:r>
      <w:r w:rsidR="0081665A">
        <w:rPr>
          <w:rFonts w:ascii="华文楷体" w:hAnsi="华文楷体"/>
          <w:sz w:val="24"/>
          <w:szCs w:val="24"/>
          <w:lang w:eastAsia="zh-CN"/>
        </w:rPr>
        <w:t>BP</w:t>
      </w:r>
      <w:r w:rsidR="00491CA1">
        <w:rPr>
          <w:rFonts w:ascii="华文楷体" w:hAnsi="华文楷体" w:hint="eastAsia"/>
          <w:sz w:val="24"/>
          <w:szCs w:val="24"/>
          <w:lang w:eastAsia="zh-CN"/>
        </w:rPr>
        <w:t>，其中</w:t>
      </w:r>
      <w:r w:rsidR="00EF3B44">
        <w:rPr>
          <w:rFonts w:ascii="华文楷体" w:hAnsi="华文楷体" w:hint="eastAsia"/>
          <w:sz w:val="24"/>
          <w:szCs w:val="24"/>
          <w:lang w:eastAsia="zh-CN"/>
        </w:rPr>
        <w:t>A</w:t>
      </w:r>
      <w:r w:rsidR="00EF3B44">
        <w:rPr>
          <w:rFonts w:ascii="华文楷体" w:hAnsi="华文楷体"/>
          <w:sz w:val="24"/>
          <w:szCs w:val="24"/>
          <w:lang w:eastAsia="zh-CN"/>
        </w:rPr>
        <w:t>A</w:t>
      </w:r>
      <w:r w:rsidR="00EF3B44">
        <w:rPr>
          <w:rFonts w:ascii="华文楷体" w:hAnsi="华文楷体" w:hint="eastAsia"/>
          <w:sz w:val="24"/>
          <w:szCs w:val="24"/>
          <w:lang w:eastAsia="zh-CN"/>
        </w:rPr>
        <w:t>+企业债小幅上行1</w:t>
      </w:r>
      <w:r w:rsidR="00EF3B44">
        <w:rPr>
          <w:rFonts w:ascii="华文楷体" w:hAnsi="华文楷体"/>
          <w:sz w:val="24"/>
          <w:szCs w:val="24"/>
          <w:lang w:eastAsia="zh-CN"/>
        </w:rPr>
        <w:t>.2BP</w:t>
      </w:r>
      <w:r w:rsidR="00491CA1">
        <w:rPr>
          <w:rFonts w:ascii="华文楷体" w:hAnsi="华文楷体" w:hint="eastAsia"/>
          <w:sz w:val="24"/>
          <w:szCs w:val="24"/>
          <w:lang w:eastAsia="zh-CN"/>
        </w:rPr>
        <w:t>；</w:t>
      </w:r>
      <w:r w:rsidR="005D5C69">
        <w:rPr>
          <w:rFonts w:ascii="华文楷体" w:hAnsi="华文楷体" w:hint="eastAsia"/>
          <w:sz w:val="24"/>
          <w:szCs w:val="24"/>
          <w:lang w:eastAsia="zh-CN"/>
        </w:rPr>
        <w:t>3</w:t>
      </w:r>
      <w:r w:rsidR="005D5C69">
        <w:rPr>
          <w:rFonts w:ascii="华文楷体" w:hAnsi="华文楷体"/>
          <w:sz w:val="24"/>
          <w:szCs w:val="24"/>
          <w:lang w:eastAsia="zh-CN"/>
        </w:rPr>
        <w:t>Y</w:t>
      </w:r>
      <w:r w:rsidR="005D5C69">
        <w:rPr>
          <w:rFonts w:ascii="华文楷体" w:hAnsi="华文楷体" w:hint="eastAsia"/>
          <w:sz w:val="24"/>
          <w:szCs w:val="24"/>
          <w:lang w:eastAsia="zh-CN"/>
        </w:rPr>
        <w:t>城投</w:t>
      </w:r>
      <w:r w:rsidR="00EF3B44">
        <w:rPr>
          <w:rFonts w:ascii="华文楷体" w:hAnsi="华文楷体" w:hint="eastAsia"/>
          <w:sz w:val="24"/>
          <w:szCs w:val="24"/>
          <w:lang w:eastAsia="zh-CN"/>
        </w:rPr>
        <w:t>下行4-</w:t>
      </w:r>
      <w:r w:rsidR="00EF3B44">
        <w:rPr>
          <w:rFonts w:ascii="华文楷体" w:hAnsi="华文楷体"/>
          <w:sz w:val="24"/>
          <w:szCs w:val="24"/>
          <w:lang w:eastAsia="zh-CN"/>
        </w:rPr>
        <w:t>6</w:t>
      </w:r>
      <w:r w:rsidR="005D5C69">
        <w:rPr>
          <w:rFonts w:ascii="华文楷体" w:hAnsi="华文楷体"/>
          <w:sz w:val="24"/>
          <w:szCs w:val="24"/>
          <w:lang w:eastAsia="zh-CN"/>
        </w:rPr>
        <w:t>BP</w:t>
      </w:r>
      <w:r w:rsidR="005D5C69">
        <w:rPr>
          <w:rFonts w:ascii="华文楷体" w:hAnsi="华文楷体" w:hint="eastAsia"/>
          <w:sz w:val="24"/>
          <w:szCs w:val="24"/>
          <w:lang w:eastAsia="zh-CN"/>
        </w:rPr>
        <w:t>。5</w:t>
      </w:r>
      <w:r w:rsidR="005D5C69">
        <w:rPr>
          <w:rFonts w:ascii="华文楷体" w:hAnsi="华文楷体"/>
          <w:sz w:val="24"/>
          <w:szCs w:val="24"/>
          <w:lang w:eastAsia="zh-CN"/>
        </w:rPr>
        <w:t>Y</w:t>
      </w:r>
      <w:r w:rsidR="005D5C69">
        <w:rPr>
          <w:rFonts w:ascii="华文楷体" w:hAnsi="华文楷体" w:hint="eastAsia"/>
          <w:sz w:val="24"/>
          <w:szCs w:val="24"/>
          <w:lang w:eastAsia="zh-CN"/>
        </w:rPr>
        <w:t>和7</w:t>
      </w:r>
      <w:r w:rsidR="005D5C69">
        <w:rPr>
          <w:rFonts w:ascii="华文楷体" w:hAnsi="华文楷体"/>
          <w:sz w:val="24"/>
          <w:szCs w:val="24"/>
          <w:lang w:eastAsia="zh-CN"/>
        </w:rPr>
        <w:t>Y</w:t>
      </w:r>
      <w:r w:rsidR="005D5C69">
        <w:rPr>
          <w:rFonts w:ascii="华文楷体" w:hAnsi="华文楷体" w:hint="eastAsia"/>
          <w:sz w:val="24"/>
          <w:szCs w:val="24"/>
          <w:lang w:eastAsia="zh-CN"/>
        </w:rPr>
        <w:t>中长期</w:t>
      </w:r>
      <w:proofErr w:type="gramStart"/>
      <w:r w:rsidR="005D5C69">
        <w:rPr>
          <w:rFonts w:ascii="华文楷体" w:hAnsi="华文楷体" w:hint="eastAsia"/>
          <w:sz w:val="24"/>
          <w:szCs w:val="24"/>
          <w:lang w:eastAsia="zh-CN"/>
        </w:rPr>
        <w:t>限品种</w:t>
      </w:r>
      <w:proofErr w:type="gramEnd"/>
      <w:r w:rsidR="00EF3B44">
        <w:rPr>
          <w:rFonts w:ascii="华文楷体" w:hAnsi="华文楷体" w:hint="eastAsia"/>
          <w:sz w:val="24"/>
          <w:szCs w:val="24"/>
          <w:lang w:eastAsia="zh-CN"/>
        </w:rPr>
        <w:t>震荡为主</w:t>
      </w:r>
      <w:r w:rsidR="00491CA1">
        <w:rPr>
          <w:rFonts w:ascii="华文楷体" w:hAnsi="华文楷体" w:hint="eastAsia"/>
          <w:sz w:val="24"/>
          <w:szCs w:val="24"/>
          <w:lang w:eastAsia="zh-CN"/>
        </w:rPr>
        <w:t>，5年中票</w:t>
      </w:r>
      <w:r w:rsidR="00EF3B44">
        <w:rPr>
          <w:rFonts w:ascii="华文楷体" w:hAnsi="华文楷体" w:hint="eastAsia"/>
          <w:sz w:val="24"/>
          <w:szCs w:val="24"/>
          <w:lang w:eastAsia="zh-CN"/>
        </w:rPr>
        <w:t>下行1-</w:t>
      </w:r>
      <w:r w:rsidR="00EF3B44">
        <w:rPr>
          <w:rFonts w:ascii="华文楷体" w:hAnsi="华文楷体"/>
          <w:sz w:val="24"/>
          <w:szCs w:val="24"/>
          <w:lang w:eastAsia="zh-CN"/>
        </w:rPr>
        <w:t>6</w:t>
      </w:r>
      <w:r w:rsidR="00491CA1">
        <w:rPr>
          <w:rFonts w:ascii="华文楷体" w:hAnsi="华文楷体" w:hint="eastAsia"/>
          <w:sz w:val="24"/>
          <w:szCs w:val="24"/>
          <w:lang w:eastAsia="zh-CN"/>
        </w:rPr>
        <w:t>B</w:t>
      </w:r>
      <w:r w:rsidR="00491CA1">
        <w:rPr>
          <w:rFonts w:ascii="华文楷体" w:hAnsi="华文楷体"/>
          <w:sz w:val="24"/>
          <w:szCs w:val="24"/>
          <w:lang w:eastAsia="zh-CN"/>
        </w:rPr>
        <w:t>P</w:t>
      </w:r>
      <w:r w:rsidR="00491CA1">
        <w:rPr>
          <w:rFonts w:ascii="华文楷体" w:hAnsi="华文楷体" w:hint="eastAsia"/>
          <w:sz w:val="24"/>
          <w:szCs w:val="24"/>
          <w:lang w:eastAsia="zh-CN"/>
        </w:rPr>
        <w:t>，5-</w:t>
      </w:r>
      <w:r w:rsidR="00491CA1">
        <w:rPr>
          <w:rFonts w:ascii="华文楷体" w:hAnsi="华文楷体"/>
          <w:sz w:val="24"/>
          <w:szCs w:val="24"/>
          <w:lang w:eastAsia="zh-CN"/>
        </w:rPr>
        <w:t>7Y</w:t>
      </w:r>
      <w:r w:rsidR="00491CA1">
        <w:rPr>
          <w:rFonts w:ascii="华文楷体" w:hAnsi="华文楷体" w:hint="eastAsia"/>
          <w:sz w:val="24"/>
          <w:szCs w:val="24"/>
          <w:lang w:eastAsia="zh-CN"/>
        </w:rPr>
        <w:t>企业</w:t>
      </w:r>
      <w:proofErr w:type="gramStart"/>
      <w:r w:rsidR="00491CA1">
        <w:rPr>
          <w:rFonts w:ascii="华文楷体" w:hAnsi="华文楷体" w:hint="eastAsia"/>
          <w:sz w:val="24"/>
          <w:szCs w:val="24"/>
          <w:lang w:eastAsia="zh-CN"/>
        </w:rPr>
        <w:t>债</w:t>
      </w:r>
      <w:r w:rsidR="00EF3B44">
        <w:rPr>
          <w:rFonts w:ascii="华文楷体" w:hAnsi="华文楷体" w:hint="eastAsia"/>
          <w:sz w:val="24"/>
          <w:szCs w:val="24"/>
          <w:lang w:eastAsia="zh-CN"/>
        </w:rPr>
        <w:t>调整</w:t>
      </w:r>
      <w:proofErr w:type="gramEnd"/>
      <w:r w:rsidR="00EF3B44">
        <w:rPr>
          <w:rFonts w:ascii="华文楷体" w:hAnsi="华文楷体" w:hint="eastAsia"/>
          <w:sz w:val="24"/>
          <w:szCs w:val="24"/>
          <w:lang w:eastAsia="zh-CN"/>
        </w:rPr>
        <w:t>幅度在-</w:t>
      </w:r>
      <w:r w:rsidR="00EF3B44">
        <w:rPr>
          <w:rFonts w:ascii="华文楷体" w:hAnsi="华文楷体"/>
          <w:sz w:val="24"/>
          <w:szCs w:val="24"/>
          <w:lang w:eastAsia="zh-CN"/>
        </w:rPr>
        <w:t>4BP</w:t>
      </w:r>
      <w:r w:rsidR="00EF3B44">
        <w:rPr>
          <w:rFonts w:ascii="华文楷体" w:hAnsi="华文楷体" w:hint="eastAsia"/>
          <w:sz w:val="24"/>
          <w:szCs w:val="24"/>
          <w:lang w:eastAsia="zh-CN"/>
        </w:rPr>
        <w:t>到+2</w:t>
      </w:r>
      <w:r w:rsidR="00EF3B44">
        <w:rPr>
          <w:rFonts w:ascii="华文楷体" w:hAnsi="华文楷体"/>
          <w:sz w:val="24"/>
          <w:szCs w:val="24"/>
          <w:lang w:eastAsia="zh-CN"/>
        </w:rPr>
        <w:t>BP</w:t>
      </w:r>
      <w:r w:rsidR="00EF3B44">
        <w:rPr>
          <w:rFonts w:ascii="华文楷体" w:hAnsi="华文楷体" w:hint="eastAsia"/>
          <w:sz w:val="24"/>
          <w:szCs w:val="24"/>
          <w:lang w:eastAsia="zh-CN"/>
        </w:rPr>
        <w:t>，其中A</w:t>
      </w:r>
      <w:r w:rsidR="00EF3B44">
        <w:rPr>
          <w:rFonts w:ascii="华文楷体" w:hAnsi="华文楷体"/>
          <w:sz w:val="24"/>
          <w:szCs w:val="24"/>
          <w:lang w:eastAsia="zh-CN"/>
        </w:rPr>
        <w:t>AA</w:t>
      </w:r>
      <w:r w:rsidR="00EF3B44">
        <w:rPr>
          <w:rFonts w:ascii="华文楷体" w:hAnsi="华文楷体" w:hint="eastAsia"/>
          <w:sz w:val="24"/>
          <w:szCs w:val="24"/>
          <w:lang w:eastAsia="zh-CN"/>
        </w:rPr>
        <w:t>评级5年品种表现最好，A</w:t>
      </w:r>
      <w:r w:rsidR="00EF3B44">
        <w:rPr>
          <w:rFonts w:ascii="华文楷体" w:hAnsi="华文楷体"/>
          <w:sz w:val="24"/>
          <w:szCs w:val="24"/>
          <w:lang w:eastAsia="zh-CN"/>
        </w:rPr>
        <w:t>A</w:t>
      </w:r>
      <w:r w:rsidR="00EF3B44">
        <w:rPr>
          <w:rFonts w:ascii="华文楷体" w:hAnsi="华文楷体" w:hint="eastAsia"/>
          <w:sz w:val="24"/>
          <w:szCs w:val="24"/>
          <w:lang w:eastAsia="zh-CN"/>
        </w:rPr>
        <w:t>+评级7年品种表现略弱；</w:t>
      </w:r>
      <w:proofErr w:type="gramStart"/>
      <w:r w:rsidR="00491CA1">
        <w:rPr>
          <w:rFonts w:ascii="华文楷体" w:hAnsi="华文楷体" w:hint="eastAsia"/>
          <w:sz w:val="24"/>
          <w:szCs w:val="24"/>
          <w:lang w:eastAsia="zh-CN"/>
        </w:rPr>
        <w:t>城投债</w:t>
      </w:r>
      <w:r w:rsidR="00EF3B44">
        <w:rPr>
          <w:rFonts w:ascii="华文楷体" w:hAnsi="华文楷体" w:hint="eastAsia"/>
          <w:sz w:val="24"/>
          <w:szCs w:val="24"/>
          <w:lang w:eastAsia="zh-CN"/>
        </w:rPr>
        <w:t>品种</w:t>
      </w:r>
      <w:proofErr w:type="gramEnd"/>
      <w:r w:rsidR="00EF3B44">
        <w:rPr>
          <w:rFonts w:ascii="华文楷体" w:hAnsi="华文楷体" w:hint="eastAsia"/>
          <w:sz w:val="24"/>
          <w:szCs w:val="24"/>
          <w:lang w:eastAsia="zh-CN"/>
        </w:rPr>
        <w:t>5年期限上行</w:t>
      </w:r>
      <w:r w:rsidR="00EF3B44">
        <w:rPr>
          <w:rFonts w:ascii="华文楷体" w:hAnsi="华文楷体"/>
          <w:sz w:val="24"/>
          <w:szCs w:val="24"/>
          <w:lang w:eastAsia="zh-CN"/>
        </w:rPr>
        <w:t>0</w:t>
      </w:r>
      <w:r w:rsidR="00EF3B44">
        <w:rPr>
          <w:rFonts w:ascii="华文楷体" w:hAnsi="华文楷体" w:hint="eastAsia"/>
          <w:sz w:val="24"/>
          <w:szCs w:val="24"/>
          <w:lang w:eastAsia="zh-CN"/>
        </w:rPr>
        <w:t>-</w:t>
      </w:r>
      <w:r w:rsidR="00EF3B44">
        <w:rPr>
          <w:rFonts w:ascii="华文楷体" w:hAnsi="华文楷体"/>
          <w:sz w:val="24"/>
          <w:szCs w:val="24"/>
          <w:lang w:eastAsia="zh-CN"/>
        </w:rPr>
        <w:t>3BP</w:t>
      </w:r>
      <w:r w:rsidR="00EF3B44">
        <w:rPr>
          <w:rFonts w:ascii="华文楷体" w:hAnsi="华文楷体" w:hint="eastAsia"/>
          <w:sz w:val="24"/>
          <w:szCs w:val="24"/>
          <w:lang w:eastAsia="zh-CN"/>
        </w:rPr>
        <w:t>，7</w:t>
      </w:r>
      <w:r w:rsidR="00EF3B44">
        <w:rPr>
          <w:rFonts w:ascii="华文楷体" w:hAnsi="华文楷体" w:hint="eastAsia"/>
          <w:sz w:val="24"/>
          <w:szCs w:val="24"/>
          <w:lang w:eastAsia="zh-CN"/>
        </w:rPr>
        <w:lastRenderedPageBreak/>
        <w:t>年品种下行0-</w:t>
      </w:r>
      <w:r w:rsidR="00EF3B44">
        <w:rPr>
          <w:rFonts w:ascii="华文楷体" w:hAnsi="华文楷体"/>
          <w:sz w:val="24"/>
          <w:szCs w:val="24"/>
          <w:lang w:eastAsia="zh-CN"/>
        </w:rPr>
        <w:t>1BP</w:t>
      </w:r>
      <w:r w:rsidR="005D5C69">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EF3B44">
        <w:rPr>
          <w:rFonts w:ascii="华文楷体" w:hAnsi="华文楷体"/>
          <w:sz w:val="24"/>
          <w:szCs w:val="24"/>
          <w:lang w:eastAsia="zh-CN"/>
        </w:rPr>
        <w:t>35</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9F68C2">
        <w:rPr>
          <w:rFonts w:ascii="华文楷体" w:hAnsi="华文楷体" w:hint="eastAsia"/>
          <w:sz w:val="24"/>
          <w:szCs w:val="24"/>
          <w:lang w:eastAsia="zh-CN"/>
        </w:rPr>
        <w:t>上下</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EF3B44">
        <w:rPr>
          <w:rFonts w:ascii="华文楷体" w:hAnsi="华文楷体"/>
          <w:sz w:val="24"/>
          <w:szCs w:val="24"/>
          <w:lang w:eastAsia="zh-CN"/>
        </w:rPr>
        <w:t>27</w:t>
      </w:r>
      <w:r w:rsidR="00EF3B44">
        <w:rPr>
          <w:rFonts w:ascii="华文楷体" w:hAnsi="华文楷体" w:hint="eastAsia"/>
          <w:sz w:val="24"/>
          <w:szCs w:val="24"/>
          <w:lang w:eastAsia="zh-CN"/>
        </w:rPr>
        <w:t>-</w:t>
      </w:r>
      <w:r w:rsidR="00EF3B44">
        <w:rPr>
          <w:rFonts w:ascii="华文楷体" w:hAnsi="华文楷体"/>
          <w:sz w:val="24"/>
          <w:szCs w:val="24"/>
          <w:lang w:eastAsia="zh-CN"/>
        </w:rPr>
        <w:t>33</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EF3B44">
        <w:rPr>
          <w:rFonts w:ascii="华文楷体" w:hAnsi="华文楷体"/>
          <w:sz w:val="24"/>
          <w:szCs w:val="24"/>
          <w:lang w:eastAsia="zh-CN"/>
        </w:rPr>
        <w:t>10</w:t>
      </w:r>
      <w:r w:rsidR="004F1AB3">
        <w:rPr>
          <w:rFonts w:ascii="华文楷体" w:hAnsi="华文楷体" w:hint="eastAsia"/>
          <w:sz w:val="24"/>
          <w:szCs w:val="24"/>
          <w:lang w:eastAsia="zh-CN"/>
        </w:rPr>
        <w:t>-2</w:t>
      </w:r>
      <w:r w:rsidR="00B03273">
        <w:rPr>
          <w:rFonts w:ascii="华文楷体" w:hAnsi="华文楷体"/>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5D5C69">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25"/>
              <w:gridCol w:w="898"/>
              <w:gridCol w:w="899"/>
              <w:gridCol w:w="899"/>
              <w:gridCol w:w="898"/>
              <w:gridCol w:w="1127"/>
              <w:gridCol w:w="898"/>
              <w:gridCol w:w="898"/>
              <w:gridCol w:w="898"/>
              <w:gridCol w:w="898"/>
            </w:tblGrid>
            <w:tr w:rsidR="009C2ACE" w:rsidRPr="009C2ACE" w14:paraId="161706FA" w14:textId="77777777" w:rsidTr="009C2ACE">
              <w:trPr>
                <w:trHeight w:val="290"/>
              </w:trPr>
              <w:tc>
                <w:tcPr>
                  <w:tcW w:w="1359" w:type="dxa"/>
                  <w:tcBorders>
                    <w:top w:val="nil"/>
                    <w:left w:val="nil"/>
                    <w:bottom w:val="single" w:sz="12" w:space="0" w:color="FFFFFF"/>
                    <w:right w:val="single" w:sz="8" w:space="0" w:color="FFFFFF"/>
                  </w:tcBorders>
                  <w:shd w:val="clear" w:color="000000" w:fill="F79646"/>
                  <w:noWrap/>
                  <w:vAlign w:val="center"/>
                  <w:hideMark/>
                </w:tcPr>
                <w:p w14:paraId="28431D0E"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收益率(%)</w:t>
                  </w:r>
                </w:p>
              </w:tc>
              <w:tc>
                <w:tcPr>
                  <w:tcW w:w="919" w:type="dxa"/>
                  <w:tcBorders>
                    <w:top w:val="nil"/>
                    <w:left w:val="nil"/>
                    <w:bottom w:val="single" w:sz="12" w:space="0" w:color="FFFFFF"/>
                    <w:right w:val="single" w:sz="8" w:space="0" w:color="FFFFFF"/>
                  </w:tcBorders>
                  <w:shd w:val="clear" w:color="000000" w:fill="F79646"/>
                  <w:noWrap/>
                  <w:vAlign w:val="center"/>
                  <w:hideMark/>
                </w:tcPr>
                <w:p w14:paraId="31BE5962"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E77E063"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7E8235D"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FA161C0"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1156" w:type="dxa"/>
                  <w:tcBorders>
                    <w:top w:val="nil"/>
                    <w:left w:val="nil"/>
                    <w:bottom w:val="single" w:sz="12" w:space="0" w:color="FFFFFF"/>
                    <w:right w:val="single" w:sz="8" w:space="0" w:color="FFFFFF"/>
                  </w:tcBorders>
                  <w:shd w:val="clear" w:color="000000" w:fill="F79646"/>
                  <w:noWrap/>
                  <w:vAlign w:val="center"/>
                  <w:hideMark/>
                </w:tcPr>
                <w:p w14:paraId="1D300115"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55A63FB2"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5E66AED"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3A0E914"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F1A7C14"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r>
            <w:tr w:rsidR="009C2ACE" w:rsidRPr="009C2ACE" w14:paraId="7B73D4A8" w14:textId="77777777" w:rsidTr="009C2ACE">
              <w:trPr>
                <w:trHeight w:val="300"/>
              </w:trPr>
              <w:tc>
                <w:tcPr>
                  <w:tcW w:w="1359" w:type="dxa"/>
                  <w:tcBorders>
                    <w:top w:val="nil"/>
                    <w:left w:val="nil"/>
                    <w:bottom w:val="single" w:sz="8" w:space="0" w:color="FFFFFF"/>
                    <w:right w:val="single" w:sz="8" w:space="0" w:color="FFFFFF"/>
                  </w:tcBorders>
                  <w:shd w:val="clear" w:color="000000" w:fill="FCD5B4"/>
                  <w:noWrap/>
                  <w:vAlign w:val="center"/>
                  <w:hideMark/>
                </w:tcPr>
                <w:p w14:paraId="0C735407"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3F6B54A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3.18 </w:t>
                  </w:r>
                </w:p>
              </w:tc>
              <w:tc>
                <w:tcPr>
                  <w:tcW w:w="920" w:type="dxa"/>
                  <w:tcBorders>
                    <w:top w:val="nil"/>
                    <w:left w:val="nil"/>
                    <w:bottom w:val="single" w:sz="8" w:space="0" w:color="FFFFFF"/>
                    <w:right w:val="single" w:sz="8" w:space="0" w:color="FFFFFF"/>
                  </w:tcBorders>
                  <w:shd w:val="clear" w:color="000000" w:fill="FCD5B4"/>
                  <w:noWrap/>
                  <w:vAlign w:val="center"/>
                  <w:hideMark/>
                </w:tcPr>
                <w:p w14:paraId="139B68C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3.40 </w:t>
                  </w:r>
                </w:p>
              </w:tc>
              <w:tc>
                <w:tcPr>
                  <w:tcW w:w="920" w:type="dxa"/>
                  <w:tcBorders>
                    <w:top w:val="nil"/>
                    <w:left w:val="nil"/>
                    <w:bottom w:val="single" w:sz="8" w:space="0" w:color="FFFFFF"/>
                    <w:right w:val="single" w:sz="8" w:space="0" w:color="FFFFFF"/>
                  </w:tcBorders>
                  <w:shd w:val="clear" w:color="000000" w:fill="FCD5B4"/>
                  <w:noWrap/>
                  <w:vAlign w:val="center"/>
                  <w:hideMark/>
                </w:tcPr>
                <w:p w14:paraId="4C0F798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3.78 </w:t>
                  </w:r>
                </w:p>
              </w:tc>
              <w:tc>
                <w:tcPr>
                  <w:tcW w:w="920" w:type="dxa"/>
                  <w:tcBorders>
                    <w:top w:val="nil"/>
                    <w:left w:val="nil"/>
                    <w:bottom w:val="single" w:sz="8" w:space="0" w:color="FFFFFF"/>
                    <w:right w:val="single" w:sz="8" w:space="0" w:color="FFFFFF"/>
                  </w:tcBorders>
                  <w:shd w:val="clear" w:color="000000" w:fill="FCD5B4"/>
                  <w:noWrap/>
                  <w:vAlign w:val="center"/>
                  <w:hideMark/>
                </w:tcPr>
                <w:p w14:paraId="08B604B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5.95 </w:t>
                  </w:r>
                </w:p>
              </w:tc>
              <w:tc>
                <w:tcPr>
                  <w:tcW w:w="1156" w:type="dxa"/>
                  <w:tcBorders>
                    <w:top w:val="nil"/>
                    <w:left w:val="nil"/>
                    <w:bottom w:val="single" w:sz="8" w:space="0" w:color="FFFFFF"/>
                    <w:right w:val="single" w:sz="8" w:space="0" w:color="FFFFFF"/>
                  </w:tcBorders>
                  <w:shd w:val="clear" w:color="000000" w:fill="FCD5B4"/>
                  <w:noWrap/>
                  <w:vAlign w:val="center"/>
                  <w:hideMark/>
                </w:tcPr>
                <w:p w14:paraId="49DF9DB2"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2B19ED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0.58 </w:t>
                  </w:r>
                </w:p>
              </w:tc>
              <w:tc>
                <w:tcPr>
                  <w:tcW w:w="920" w:type="dxa"/>
                  <w:tcBorders>
                    <w:top w:val="nil"/>
                    <w:left w:val="nil"/>
                    <w:bottom w:val="single" w:sz="8" w:space="0" w:color="FFFFFF"/>
                    <w:right w:val="single" w:sz="8" w:space="0" w:color="FFFFFF"/>
                  </w:tcBorders>
                  <w:shd w:val="clear" w:color="000000" w:fill="FCD5B4"/>
                  <w:noWrap/>
                  <w:vAlign w:val="center"/>
                  <w:hideMark/>
                </w:tcPr>
                <w:p w14:paraId="13285F0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0.80 </w:t>
                  </w:r>
                </w:p>
              </w:tc>
              <w:tc>
                <w:tcPr>
                  <w:tcW w:w="920" w:type="dxa"/>
                  <w:tcBorders>
                    <w:top w:val="nil"/>
                    <w:left w:val="nil"/>
                    <w:bottom w:val="single" w:sz="8" w:space="0" w:color="FFFFFF"/>
                    <w:right w:val="single" w:sz="8" w:space="0" w:color="FFFFFF"/>
                  </w:tcBorders>
                  <w:shd w:val="clear" w:color="000000" w:fill="FCD5B4"/>
                  <w:noWrap/>
                  <w:vAlign w:val="center"/>
                  <w:hideMark/>
                </w:tcPr>
                <w:p w14:paraId="0ED241C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1.18 </w:t>
                  </w:r>
                </w:p>
              </w:tc>
              <w:tc>
                <w:tcPr>
                  <w:tcW w:w="920" w:type="dxa"/>
                  <w:tcBorders>
                    <w:top w:val="nil"/>
                    <w:left w:val="nil"/>
                    <w:bottom w:val="single" w:sz="8" w:space="0" w:color="FFFFFF"/>
                    <w:right w:val="single" w:sz="8" w:space="0" w:color="FFFFFF"/>
                  </w:tcBorders>
                  <w:shd w:val="clear" w:color="000000" w:fill="FCD5B4"/>
                  <w:noWrap/>
                  <w:vAlign w:val="center"/>
                  <w:hideMark/>
                </w:tcPr>
                <w:p w14:paraId="33310AB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3.35 </w:t>
                  </w:r>
                </w:p>
              </w:tc>
            </w:tr>
            <w:tr w:rsidR="009C2ACE" w:rsidRPr="009C2ACE" w14:paraId="737C888F"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25B21F41"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3D65BB9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3.70 </w:t>
                  </w:r>
                </w:p>
              </w:tc>
              <w:tc>
                <w:tcPr>
                  <w:tcW w:w="920" w:type="dxa"/>
                  <w:tcBorders>
                    <w:top w:val="nil"/>
                    <w:left w:val="nil"/>
                    <w:bottom w:val="single" w:sz="8" w:space="0" w:color="FFFFFF"/>
                    <w:right w:val="single" w:sz="8" w:space="0" w:color="FFFFFF"/>
                  </w:tcBorders>
                  <w:shd w:val="clear" w:color="000000" w:fill="FDE9D9"/>
                  <w:noWrap/>
                  <w:vAlign w:val="center"/>
                  <w:hideMark/>
                </w:tcPr>
                <w:p w14:paraId="02DA1B1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3.94 </w:t>
                  </w:r>
                </w:p>
              </w:tc>
              <w:tc>
                <w:tcPr>
                  <w:tcW w:w="920" w:type="dxa"/>
                  <w:tcBorders>
                    <w:top w:val="nil"/>
                    <w:left w:val="nil"/>
                    <w:bottom w:val="single" w:sz="8" w:space="0" w:color="FFFFFF"/>
                    <w:right w:val="single" w:sz="8" w:space="0" w:color="FFFFFF"/>
                  </w:tcBorders>
                  <w:shd w:val="clear" w:color="000000" w:fill="FDE9D9"/>
                  <w:noWrap/>
                  <w:vAlign w:val="center"/>
                  <w:hideMark/>
                </w:tcPr>
                <w:p w14:paraId="044E4B0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4.41 </w:t>
                  </w:r>
                </w:p>
              </w:tc>
              <w:tc>
                <w:tcPr>
                  <w:tcW w:w="920" w:type="dxa"/>
                  <w:tcBorders>
                    <w:top w:val="nil"/>
                    <w:left w:val="nil"/>
                    <w:bottom w:val="single" w:sz="8" w:space="0" w:color="FFFFFF"/>
                    <w:right w:val="single" w:sz="8" w:space="0" w:color="FFFFFF"/>
                  </w:tcBorders>
                  <w:shd w:val="clear" w:color="000000" w:fill="FDE9D9"/>
                  <w:noWrap/>
                  <w:vAlign w:val="center"/>
                  <w:hideMark/>
                </w:tcPr>
                <w:p w14:paraId="4AA00C5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6.58 </w:t>
                  </w:r>
                </w:p>
              </w:tc>
              <w:tc>
                <w:tcPr>
                  <w:tcW w:w="1156" w:type="dxa"/>
                  <w:tcBorders>
                    <w:top w:val="nil"/>
                    <w:left w:val="nil"/>
                    <w:bottom w:val="single" w:sz="8" w:space="0" w:color="FFFFFF"/>
                    <w:right w:val="single" w:sz="8" w:space="0" w:color="FFFFFF"/>
                  </w:tcBorders>
                  <w:shd w:val="clear" w:color="000000" w:fill="FDE9D9"/>
                  <w:noWrap/>
                  <w:vAlign w:val="center"/>
                  <w:hideMark/>
                </w:tcPr>
                <w:p w14:paraId="7905CE5D"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ECAD13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0.80 </w:t>
                  </w:r>
                </w:p>
              </w:tc>
              <w:tc>
                <w:tcPr>
                  <w:tcW w:w="920" w:type="dxa"/>
                  <w:tcBorders>
                    <w:top w:val="nil"/>
                    <w:left w:val="nil"/>
                    <w:bottom w:val="single" w:sz="8" w:space="0" w:color="FFFFFF"/>
                    <w:right w:val="single" w:sz="8" w:space="0" w:color="FFFFFF"/>
                  </w:tcBorders>
                  <w:shd w:val="clear" w:color="000000" w:fill="FDE9D9"/>
                  <w:noWrap/>
                  <w:vAlign w:val="center"/>
                  <w:hideMark/>
                </w:tcPr>
                <w:p w14:paraId="75C9794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1.04 </w:t>
                  </w:r>
                </w:p>
              </w:tc>
              <w:tc>
                <w:tcPr>
                  <w:tcW w:w="920" w:type="dxa"/>
                  <w:tcBorders>
                    <w:top w:val="nil"/>
                    <w:left w:val="nil"/>
                    <w:bottom w:val="single" w:sz="8" w:space="0" w:color="FFFFFF"/>
                    <w:right w:val="single" w:sz="8" w:space="0" w:color="FFFFFF"/>
                  </w:tcBorders>
                  <w:shd w:val="clear" w:color="000000" w:fill="FDE9D9"/>
                  <w:noWrap/>
                  <w:vAlign w:val="center"/>
                  <w:hideMark/>
                </w:tcPr>
                <w:p w14:paraId="4D3DB51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1.51 </w:t>
                  </w:r>
                </w:p>
              </w:tc>
              <w:tc>
                <w:tcPr>
                  <w:tcW w:w="920" w:type="dxa"/>
                  <w:tcBorders>
                    <w:top w:val="nil"/>
                    <w:left w:val="nil"/>
                    <w:bottom w:val="single" w:sz="8" w:space="0" w:color="FFFFFF"/>
                    <w:right w:val="single" w:sz="8" w:space="0" w:color="FFFFFF"/>
                  </w:tcBorders>
                  <w:shd w:val="clear" w:color="000000" w:fill="FDE9D9"/>
                  <w:noWrap/>
                  <w:vAlign w:val="center"/>
                  <w:hideMark/>
                </w:tcPr>
                <w:p w14:paraId="535809C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3.68 </w:t>
                  </w:r>
                </w:p>
              </w:tc>
            </w:tr>
            <w:tr w:rsidR="009C2ACE" w:rsidRPr="009C2ACE" w14:paraId="0D2A7FD5"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0B8FD1A9"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276AEFA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3.86 </w:t>
                  </w:r>
                </w:p>
              </w:tc>
              <w:tc>
                <w:tcPr>
                  <w:tcW w:w="920" w:type="dxa"/>
                  <w:tcBorders>
                    <w:top w:val="nil"/>
                    <w:left w:val="nil"/>
                    <w:bottom w:val="single" w:sz="8" w:space="0" w:color="FFFFFF"/>
                    <w:right w:val="single" w:sz="8" w:space="0" w:color="FFFFFF"/>
                  </w:tcBorders>
                  <w:shd w:val="clear" w:color="000000" w:fill="FCD5B4"/>
                  <w:noWrap/>
                  <w:vAlign w:val="center"/>
                  <w:hideMark/>
                </w:tcPr>
                <w:p w14:paraId="4C798AE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4.19 </w:t>
                  </w:r>
                </w:p>
              </w:tc>
              <w:tc>
                <w:tcPr>
                  <w:tcW w:w="920" w:type="dxa"/>
                  <w:tcBorders>
                    <w:top w:val="nil"/>
                    <w:left w:val="nil"/>
                    <w:bottom w:val="single" w:sz="8" w:space="0" w:color="FFFFFF"/>
                    <w:right w:val="single" w:sz="8" w:space="0" w:color="FFFFFF"/>
                  </w:tcBorders>
                  <w:shd w:val="clear" w:color="000000" w:fill="FCD5B4"/>
                  <w:noWrap/>
                  <w:vAlign w:val="center"/>
                  <w:hideMark/>
                </w:tcPr>
                <w:p w14:paraId="6DD3801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4.67 </w:t>
                  </w:r>
                </w:p>
              </w:tc>
              <w:tc>
                <w:tcPr>
                  <w:tcW w:w="920" w:type="dxa"/>
                  <w:tcBorders>
                    <w:top w:val="nil"/>
                    <w:left w:val="nil"/>
                    <w:bottom w:val="single" w:sz="8" w:space="0" w:color="FFFFFF"/>
                    <w:right w:val="single" w:sz="8" w:space="0" w:color="FFFFFF"/>
                  </w:tcBorders>
                  <w:shd w:val="clear" w:color="000000" w:fill="FCD5B4"/>
                  <w:noWrap/>
                  <w:vAlign w:val="center"/>
                  <w:hideMark/>
                </w:tcPr>
                <w:p w14:paraId="65E5AB9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6.84 </w:t>
                  </w:r>
                </w:p>
              </w:tc>
              <w:tc>
                <w:tcPr>
                  <w:tcW w:w="1156" w:type="dxa"/>
                  <w:tcBorders>
                    <w:top w:val="nil"/>
                    <w:left w:val="nil"/>
                    <w:bottom w:val="single" w:sz="8" w:space="0" w:color="FFFFFF"/>
                    <w:right w:val="single" w:sz="8" w:space="0" w:color="FFFFFF"/>
                  </w:tcBorders>
                  <w:shd w:val="clear" w:color="000000" w:fill="FCD5B4"/>
                  <w:noWrap/>
                  <w:vAlign w:val="center"/>
                  <w:hideMark/>
                </w:tcPr>
                <w:p w14:paraId="36F50418"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70AADBB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0.76 </w:t>
                  </w:r>
                </w:p>
              </w:tc>
              <w:tc>
                <w:tcPr>
                  <w:tcW w:w="920" w:type="dxa"/>
                  <w:tcBorders>
                    <w:top w:val="nil"/>
                    <w:left w:val="nil"/>
                    <w:bottom w:val="single" w:sz="8" w:space="0" w:color="FFFFFF"/>
                    <w:right w:val="single" w:sz="8" w:space="0" w:color="FFFFFF"/>
                  </w:tcBorders>
                  <w:shd w:val="clear" w:color="000000" w:fill="FCD5B4"/>
                  <w:noWrap/>
                  <w:vAlign w:val="center"/>
                  <w:hideMark/>
                </w:tcPr>
                <w:p w14:paraId="65BB005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1.09 </w:t>
                  </w:r>
                </w:p>
              </w:tc>
              <w:tc>
                <w:tcPr>
                  <w:tcW w:w="920" w:type="dxa"/>
                  <w:tcBorders>
                    <w:top w:val="nil"/>
                    <w:left w:val="nil"/>
                    <w:bottom w:val="single" w:sz="8" w:space="0" w:color="FFFFFF"/>
                    <w:right w:val="single" w:sz="8" w:space="0" w:color="FFFFFF"/>
                  </w:tcBorders>
                  <w:shd w:val="clear" w:color="000000" w:fill="FCD5B4"/>
                  <w:noWrap/>
                  <w:vAlign w:val="center"/>
                  <w:hideMark/>
                </w:tcPr>
                <w:p w14:paraId="520A2C1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1.57 </w:t>
                  </w:r>
                </w:p>
              </w:tc>
              <w:tc>
                <w:tcPr>
                  <w:tcW w:w="920" w:type="dxa"/>
                  <w:tcBorders>
                    <w:top w:val="nil"/>
                    <w:left w:val="nil"/>
                    <w:bottom w:val="single" w:sz="8" w:space="0" w:color="FFFFFF"/>
                    <w:right w:val="single" w:sz="8" w:space="0" w:color="FFFFFF"/>
                  </w:tcBorders>
                  <w:shd w:val="clear" w:color="000000" w:fill="FCD5B4"/>
                  <w:noWrap/>
                  <w:vAlign w:val="center"/>
                  <w:hideMark/>
                </w:tcPr>
                <w:p w14:paraId="6B49E6D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3.74 </w:t>
                  </w:r>
                </w:p>
              </w:tc>
            </w:tr>
            <w:tr w:rsidR="009C2ACE" w:rsidRPr="009C2ACE" w14:paraId="16F24056"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3276D63C"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14059D0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3.67 </w:t>
                  </w:r>
                </w:p>
              </w:tc>
              <w:tc>
                <w:tcPr>
                  <w:tcW w:w="920" w:type="dxa"/>
                  <w:tcBorders>
                    <w:top w:val="nil"/>
                    <w:left w:val="nil"/>
                    <w:bottom w:val="single" w:sz="8" w:space="0" w:color="FFFFFF"/>
                    <w:right w:val="single" w:sz="8" w:space="0" w:color="FFFFFF"/>
                  </w:tcBorders>
                  <w:shd w:val="clear" w:color="000000" w:fill="FDE9D9"/>
                  <w:noWrap/>
                  <w:vAlign w:val="center"/>
                  <w:hideMark/>
                </w:tcPr>
                <w:p w14:paraId="3666F31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3.94 </w:t>
                  </w:r>
                </w:p>
              </w:tc>
              <w:tc>
                <w:tcPr>
                  <w:tcW w:w="920" w:type="dxa"/>
                  <w:tcBorders>
                    <w:top w:val="nil"/>
                    <w:left w:val="nil"/>
                    <w:bottom w:val="single" w:sz="8" w:space="0" w:color="FFFFFF"/>
                    <w:right w:val="single" w:sz="8" w:space="0" w:color="FFFFFF"/>
                  </w:tcBorders>
                  <w:shd w:val="clear" w:color="000000" w:fill="FDE9D9"/>
                  <w:noWrap/>
                  <w:vAlign w:val="center"/>
                  <w:hideMark/>
                </w:tcPr>
                <w:p w14:paraId="2688540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4.36 </w:t>
                  </w:r>
                </w:p>
              </w:tc>
              <w:tc>
                <w:tcPr>
                  <w:tcW w:w="920" w:type="dxa"/>
                  <w:tcBorders>
                    <w:top w:val="nil"/>
                    <w:left w:val="nil"/>
                    <w:bottom w:val="single" w:sz="8" w:space="0" w:color="FFFFFF"/>
                    <w:right w:val="single" w:sz="8" w:space="0" w:color="FFFFFF"/>
                  </w:tcBorders>
                  <w:shd w:val="clear" w:color="000000" w:fill="FDE9D9"/>
                  <w:noWrap/>
                  <w:vAlign w:val="center"/>
                  <w:hideMark/>
                </w:tcPr>
                <w:p w14:paraId="570C83D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6.58 </w:t>
                  </w:r>
                </w:p>
              </w:tc>
              <w:tc>
                <w:tcPr>
                  <w:tcW w:w="1156" w:type="dxa"/>
                  <w:tcBorders>
                    <w:top w:val="nil"/>
                    <w:left w:val="nil"/>
                    <w:bottom w:val="single" w:sz="8" w:space="0" w:color="FFFFFF"/>
                    <w:right w:val="single" w:sz="8" w:space="0" w:color="FFFFFF"/>
                  </w:tcBorders>
                  <w:shd w:val="clear" w:color="000000" w:fill="FDE9D9"/>
                  <w:noWrap/>
                  <w:vAlign w:val="center"/>
                  <w:hideMark/>
                </w:tcPr>
                <w:p w14:paraId="162B574E"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7C110A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0.77 </w:t>
                  </w:r>
                </w:p>
              </w:tc>
              <w:tc>
                <w:tcPr>
                  <w:tcW w:w="920" w:type="dxa"/>
                  <w:tcBorders>
                    <w:top w:val="nil"/>
                    <w:left w:val="nil"/>
                    <w:bottom w:val="single" w:sz="8" w:space="0" w:color="FFFFFF"/>
                    <w:right w:val="single" w:sz="8" w:space="0" w:color="FFFFFF"/>
                  </w:tcBorders>
                  <w:shd w:val="clear" w:color="000000" w:fill="FDE9D9"/>
                  <w:noWrap/>
                  <w:vAlign w:val="center"/>
                  <w:hideMark/>
                </w:tcPr>
                <w:p w14:paraId="64A8647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1.04 </w:t>
                  </w:r>
                </w:p>
              </w:tc>
              <w:tc>
                <w:tcPr>
                  <w:tcW w:w="920" w:type="dxa"/>
                  <w:tcBorders>
                    <w:top w:val="nil"/>
                    <w:left w:val="nil"/>
                    <w:bottom w:val="single" w:sz="8" w:space="0" w:color="FFFFFF"/>
                    <w:right w:val="single" w:sz="8" w:space="0" w:color="FFFFFF"/>
                  </w:tcBorders>
                  <w:shd w:val="clear" w:color="000000" w:fill="FDE9D9"/>
                  <w:noWrap/>
                  <w:vAlign w:val="center"/>
                  <w:hideMark/>
                </w:tcPr>
                <w:p w14:paraId="2B22A02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1.46 </w:t>
                  </w:r>
                </w:p>
              </w:tc>
              <w:tc>
                <w:tcPr>
                  <w:tcW w:w="920" w:type="dxa"/>
                  <w:tcBorders>
                    <w:top w:val="nil"/>
                    <w:left w:val="nil"/>
                    <w:bottom w:val="single" w:sz="8" w:space="0" w:color="FFFFFF"/>
                    <w:right w:val="single" w:sz="8" w:space="0" w:color="FFFFFF"/>
                  </w:tcBorders>
                  <w:shd w:val="clear" w:color="000000" w:fill="FDE9D9"/>
                  <w:noWrap/>
                  <w:vAlign w:val="center"/>
                  <w:hideMark/>
                </w:tcPr>
                <w:p w14:paraId="6A6745E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3.68 </w:t>
                  </w:r>
                </w:p>
              </w:tc>
            </w:tr>
            <w:tr w:rsidR="009C2ACE" w:rsidRPr="009C2ACE" w14:paraId="485A98B2"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669ACF4C"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5C0F8F5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3.81 </w:t>
                  </w:r>
                </w:p>
              </w:tc>
              <w:tc>
                <w:tcPr>
                  <w:tcW w:w="920" w:type="dxa"/>
                  <w:tcBorders>
                    <w:top w:val="nil"/>
                    <w:left w:val="nil"/>
                    <w:bottom w:val="single" w:sz="8" w:space="0" w:color="FFFFFF"/>
                    <w:right w:val="single" w:sz="8" w:space="0" w:color="FFFFFF"/>
                  </w:tcBorders>
                  <w:shd w:val="clear" w:color="000000" w:fill="FCD5B4"/>
                  <w:noWrap/>
                  <w:vAlign w:val="center"/>
                  <w:hideMark/>
                </w:tcPr>
                <w:p w14:paraId="5BFA082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4.08 </w:t>
                  </w:r>
                </w:p>
              </w:tc>
              <w:tc>
                <w:tcPr>
                  <w:tcW w:w="920" w:type="dxa"/>
                  <w:tcBorders>
                    <w:top w:val="nil"/>
                    <w:left w:val="nil"/>
                    <w:bottom w:val="single" w:sz="8" w:space="0" w:color="FFFFFF"/>
                    <w:right w:val="single" w:sz="8" w:space="0" w:color="FFFFFF"/>
                  </w:tcBorders>
                  <w:shd w:val="clear" w:color="000000" w:fill="FCD5B4"/>
                  <w:noWrap/>
                  <w:vAlign w:val="center"/>
                  <w:hideMark/>
                </w:tcPr>
                <w:p w14:paraId="2218291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4.52 </w:t>
                  </w:r>
                </w:p>
              </w:tc>
              <w:tc>
                <w:tcPr>
                  <w:tcW w:w="920" w:type="dxa"/>
                  <w:tcBorders>
                    <w:top w:val="nil"/>
                    <w:left w:val="nil"/>
                    <w:bottom w:val="single" w:sz="8" w:space="0" w:color="FFFFFF"/>
                    <w:right w:val="single" w:sz="8" w:space="0" w:color="FFFFFF"/>
                  </w:tcBorders>
                  <w:shd w:val="clear" w:color="000000" w:fill="FCD5B4"/>
                  <w:noWrap/>
                  <w:vAlign w:val="center"/>
                  <w:hideMark/>
                </w:tcPr>
                <w:p w14:paraId="13EE596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6.74 </w:t>
                  </w:r>
                </w:p>
              </w:tc>
              <w:tc>
                <w:tcPr>
                  <w:tcW w:w="1156" w:type="dxa"/>
                  <w:tcBorders>
                    <w:top w:val="nil"/>
                    <w:left w:val="nil"/>
                    <w:bottom w:val="single" w:sz="8" w:space="0" w:color="FFFFFF"/>
                    <w:right w:val="single" w:sz="8" w:space="0" w:color="FFFFFF"/>
                  </w:tcBorders>
                  <w:shd w:val="clear" w:color="000000" w:fill="FCD5B4"/>
                  <w:noWrap/>
                  <w:vAlign w:val="center"/>
                  <w:hideMark/>
                </w:tcPr>
                <w:p w14:paraId="39E7FD9D"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13F930E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0.70 </w:t>
                  </w:r>
                </w:p>
              </w:tc>
              <w:tc>
                <w:tcPr>
                  <w:tcW w:w="920" w:type="dxa"/>
                  <w:tcBorders>
                    <w:top w:val="nil"/>
                    <w:left w:val="nil"/>
                    <w:bottom w:val="single" w:sz="8" w:space="0" w:color="FFFFFF"/>
                    <w:right w:val="single" w:sz="8" w:space="0" w:color="FFFFFF"/>
                  </w:tcBorders>
                  <w:shd w:val="clear" w:color="000000" w:fill="FCD5B4"/>
                  <w:noWrap/>
                  <w:vAlign w:val="center"/>
                  <w:hideMark/>
                </w:tcPr>
                <w:p w14:paraId="59D6B31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0.97 </w:t>
                  </w:r>
                </w:p>
              </w:tc>
              <w:tc>
                <w:tcPr>
                  <w:tcW w:w="920" w:type="dxa"/>
                  <w:tcBorders>
                    <w:top w:val="nil"/>
                    <w:left w:val="nil"/>
                    <w:bottom w:val="single" w:sz="8" w:space="0" w:color="FFFFFF"/>
                    <w:right w:val="single" w:sz="8" w:space="0" w:color="FFFFFF"/>
                  </w:tcBorders>
                  <w:shd w:val="clear" w:color="000000" w:fill="FCD5B4"/>
                  <w:noWrap/>
                  <w:vAlign w:val="center"/>
                  <w:hideMark/>
                </w:tcPr>
                <w:p w14:paraId="1CA2302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1.41 </w:t>
                  </w:r>
                </w:p>
              </w:tc>
              <w:tc>
                <w:tcPr>
                  <w:tcW w:w="920" w:type="dxa"/>
                  <w:tcBorders>
                    <w:top w:val="nil"/>
                    <w:left w:val="nil"/>
                    <w:bottom w:val="single" w:sz="8" w:space="0" w:color="FFFFFF"/>
                    <w:right w:val="single" w:sz="8" w:space="0" w:color="FFFFFF"/>
                  </w:tcBorders>
                  <w:shd w:val="clear" w:color="000000" w:fill="FCD5B4"/>
                  <w:noWrap/>
                  <w:vAlign w:val="center"/>
                  <w:hideMark/>
                </w:tcPr>
                <w:p w14:paraId="151E597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3.63 </w:t>
                  </w:r>
                </w:p>
              </w:tc>
            </w:tr>
            <w:tr w:rsidR="009C2ACE" w:rsidRPr="009C2ACE" w14:paraId="0DCC630C"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56A0D189"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72934BA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3.95 </w:t>
                  </w:r>
                </w:p>
              </w:tc>
              <w:tc>
                <w:tcPr>
                  <w:tcW w:w="920" w:type="dxa"/>
                  <w:tcBorders>
                    <w:top w:val="nil"/>
                    <w:left w:val="nil"/>
                    <w:bottom w:val="single" w:sz="8" w:space="0" w:color="FFFFFF"/>
                    <w:right w:val="single" w:sz="8" w:space="0" w:color="FFFFFF"/>
                  </w:tcBorders>
                  <w:shd w:val="clear" w:color="000000" w:fill="FDE9D9"/>
                  <w:noWrap/>
                  <w:vAlign w:val="center"/>
                  <w:hideMark/>
                </w:tcPr>
                <w:p w14:paraId="17CB6D6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4.22 </w:t>
                  </w:r>
                </w:p>
              </w:tc>
              <w:tc>
                <w:tcPr>
                  <w:tcW w:w="920" w:type="dxa"/>
                  <w:tcBorders>
                    <w:top w:val="nil"/>
                    <w:left w:val="nil"/>
                    <w:bottom w:val="single" w:sz="8" w:space="0" w:color="FFFFFF"/>
                    <w:right w:val="single" w:sz="8" w:space="0" w:color="FFFFFF"/>
                  </w:tcBorders>
                  <w:shd w:val="clear" w:color="000000" w:fill="FDE9D9"/>
                  <w:noWrap/>
                  <w:vAlign w:val="center"/>
                  <w:hideMark/>
                </w:tcPr>
                <w:p w14:paraId="72304FB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4.69 </w:t>
                  </w:r>
                </w:p>
              </w:tc>
              <w:tc>
                <w:tcPr>
                  <w:tcW w:w="920" w:type="dxa"/>
                  <w:tcBorders>
                    <w:top w:val="nil"/>
                    <w:left w:val="nil"/>
                    <w:bottom w:val="single" w:sz="8" w:space="0" w:color="FFFFFF"/>
                    <w:right w:val="single" w:sz="8" w:space="0" w:color="FFFFFF"/>
                  </w:tcBorders>
                  <w:shd w:val="clear" w:color="000000" w:fill="FDE9D9"/>
                  <w:noWrap/>
                  <w:vAlign w:val="center"/>
                  <w:hideMark/>
                </w:tcPr>
                <w:p w14:paraId="426E4C9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6.91 </w:t>
                  </w:r>
                </w:p>
              </w:tc>
              <w:tc>
                <w:tcPr>
                  <w:tcW w:w="1156" w:type="dxa"/>
                  <w:tcBorders>
                    <w:top w:val="nil"/>
                    <w:left w:val="nil"/>
                    <w:bottom w:val="single" w:sz="8" w:space="0" w:color="FFFFFF"/>
                    <w:right w:val="single" w:sz="8" w:space="0" w:color="FFFFFF"/>
                  </w:tcBorders>
                  <w:shd w:val="clear" w:color="000000" w:fill="FDE9D9"/>
                  <w:noWrap/>
                  <w:vAlign w:val="center"/>
                  <w:hideMark/>
                </w:tcPr>
                <w:p w14:paraId="1C7DDAB6"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33C2A0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0.69 </w:t>
                  </w:r>
                </w:p>
              </w:tc>
              <w:tc>
                <w:tcPr>
                  <w:tcW w:w="920" w:type="dxa"/>
                  <w:tcBorders>
                    <w:top w:val="nil"/>
                    <w:left w:val="nil"/>
                    <w:bottom w:val="single" w:sz="8" w:space="0" w:color="FFFFFF"/>
                    <w:right w:val="single" w:sz="8" w:space="0" w:color="FFFFFF"/>
                  </w:tcBorders>
                  <w:shd w:val="clear" w:color="000000" w:fill="FDE9D9"/>
                  <w:noWrap/>
                  <w:vAlign w:val="center"/>
                  <w:hideMark/>
                </w:tcPr>
                <w:p w14:paraId="5624DA9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0.96 </w:t>
                  </w:r>
                </w:p>
              </w:tc>
              <w:tc>
                <w:tcPr>
                  <w:tcW w:w="920" w:type="dxa"/>
                  <w:tcBorders>
                    <w:top w:val="nil"/>
                    <w:left w:val="nil"/>
                    <w:bottom w:val="single" w:sz="8" w:space="0" w:color="FFFFFF"/>
                    <w:right w:val="single" w:sz="8" w:space="0" w:color="FFFFFF"/>
                  </w:tcBorders>
                  <w:shd w:val="clear" w:color="000000" w:fill="FDE9D9"/>
                  <w:noWrap/>
                  <w:vAlign w:val="center"/>
                  <w:hideMark/>
                </w:tcPr>
                <w:p w14:paraId="5EE34F8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1.43 </w:t>
                  </w:r>
                </w:p>
              </w:tc>
              <w:tc>
                <w:tcPr>
                  <w:tcW w:w="920" w:type="dxa"/>
                  <w:tcBorders>
                    <w:top w:val="nil"/>
                    <w:left w:val="nil"/>
                    <w:bottom w:val="single" w:sz="8" w:space="0" w:color="FFFFFF"/>
                    <w:right w:val="single" w:sz="8" w:space="0" w:color="FFFFFF"/>
                  </w:tcBorders>
                  <w:shd w:val="clear" w:color="000000" w:fill="FDE9D9"/>
                  <w:noWrap/>
                  <w:vAlign w:val="center"/>
                  <w:hideMark/>
                </w:tcPr>
                <w:p w14:paraId="516E414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3.65 </w:t>
                  </w:r>
                </w:p>
              </w:tc>
            </w:tr>
            <w:tr w:rsidR="009C2ACE" w:rsidRPr="009C2ACE" w14:paraId="2DAAD343"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750073AF"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2D6306D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3.71 </w:t>
                  </w:r>
                </w:p>
              </w:tc>
              <w:tc>
                <w:tcPr>
                  <w:tcW w:w="920" w:type="dxa"/>
                  <w:tcBorders>
                    <w:top w:val="nil"/>
                    <w:left w:val="nil"/>
                    <w:bottom w:val="single" w:sz="8" w:space="0" w:color="FFFFFF"/>
                    <w:right w:val="single" w:sz="8" w:space="0" w:color="FFFFFF"/>
                  </w:tcBorders>
                  <w:shd w:val="clear" w:color="000000" w:fill="FCD5B4"/>
                  <w:noWrap/>
                  <w:vAlign w:val="center"/>
                  <w:hideMark/>
                </w:tcPr>
                <w:p w14:paraId="4B0A797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3.91 </w:t>
                  </w:r>
                </w:p>
              </w:tc>
              <w:tc>
                <w:tcPr>
                  <w:tcW w:w="920" w:type="dxa"/>
                  <w:tcBorders>
                    <w:top w:val="nil"/>
                    <w:left w:val="nil"/>
                    <w:bottom w:val="single" w:sz="8" w:space="0" w:color="FFFFFF"/>
                    <w:right w:val="single" w:sz="8" w:space="0" w:color="FFFFFF"/>
                  </w:tcBorders>
                  <w:shd w:val="clear" w:color="000000" w:fill="FCD5B4"/>
                  <w:noWrap/>
                  <w:vAlign w:val="center"/>
                  <w:hideMark/>
                </w:tcPr>
                <w:p w14:paraId="6BE3954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4.15 </w:t>
                  </w:r>
                </w:p>
              </w:tc>
              <w:tc>
                <w:tcPr>
                  <w:tcW w:w="920" w:type="dxa"/>
                  <w:tcBorders>
                    <w:top w:val="nil"/>
                    <w:left w:val="nil"/>
                    <w:bottom w:val="single" w:sz="8" w:space="0" w:color="FFFFFF"/>
                    <w:right w:val="single" w:sz="8" w:space="0" w:color="FFFFFF"/>
                  </w:tcBorders>
                  <w:shd w:val="clear" w:color="000000" w:fill="FCD5B4"/>
                  <w:noWrap/>
                  <w:vAlign w:val="center"/>
                  <w:hideMark/>
                </w:tcPr>
                <w:p w14:paraId="14E217E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6.47 </w:t>
                  </w:r>
                </w:p>
              </w:tc>
              <w:tc>
                <w:tcPr>
                  <w:tcW w:w="1156" w:type="dxa"/>
                  <w:tcBorders>
                    <w:top w:val="nil"/>
                    <w:left w:val="nil"/>
                    <w:bottom w:val="single" w:sz="8" w:space="0" w:color="FFFFFF"/>
                    <w:right w:val="single" w:sz="8" w:space="0" w:color="FFFFFF"/>
                  </w:tcBorders>
                  <w:shd w:val="clear" w:color="000000" w:fill="FCD5B4"/>
                  <w:noWrap/>
                  <w:vAlign w:val="center"/>
                  <w:hideMark/>
                </w:tcPr>
                <w:p w14:paraId="40BC2720"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0D35DC8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0.81 </w:t>
                  </w:r>
                </w:p>
              </w:tc>
              <w:tc>
                <w:tcPr>
                  <w:tcW w:w="920" w:type="dxa"/>
                  <w:tcBorders>
                    <w:top w:val="nil"/>
                    <w:left w:val="nil"/>
                    <w:bottom w:val="single" w:sz="8" w:space="0" w:color="FFFFFF"/>
                    <w:right w:val="single" w:sz="8" w:space="0" w:color="FFFFFF"/>
                  </w:tcBorders>
                  <w:shd w:val="clear" w:color="000000" w:fill="FCD5B4"/>
                  <w:noWrap/>
                  <w:vAlign w:val="center"/>
                  <w:hideMark/>
                </w:tcPr>
                <w:p w14:paraId="665A021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1.01 </w:t>
                  </w:r>
                </w:p>
              </w:tc>
              <w:tc>
                <w:tcPr>
                  <w:tcW w:w="920" w:type="dxa"/>
                  <w:tcBorders>
                    <w:top w:val="nil"/>
                    <w:left w:val="nil"/>
                    <w:bottom w:val="single" w:sz="8" w:space="0" w:color="FFFFFF"/>
                    <w:right w:val="single" w:sz="8" w:space="0" w:color="FFFFFF"/>
                  </w:tcBorders>
                  <w:shd w:val="clear" w:color="000000" w:fill="FCD5B4"/>
                  <w:noWrap/>
                  <w:vAlign w:val="center"/>
                  <w:hideMark/>
                </w:tcPr>
                <w:p w14:paraId="260EADB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1.24 </w:t>
                  </w:r>
                </w:p>
              </w:tc>
              <w:tc>
                <w:tcPr>
                  <w:tcW w:w="920" w:type="dxa"/>
                  <w:tcBorders>
                    <w:top w:val="nil"/>
                    <w:left w:val="nil"/>
                    <w:bottom w:val="single" w:sz="8" w:space="0" w:color="FFFFFF"/>
                    <w:right w:val="single" w:sz="8" w:space="0" w:color="FFFFFF"/>
                  </w:tcBorders>
                  <w:shd w:val="clear" w:color="000000" w:fill="FCD5B4"/>
                  <w:noWrap/>
                  <w:vAlign w:val="center"/>
                  <w:hideMark/>
                </w:tcPr>
                <w:p w14:paraId="1C2AB69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3.56 </w:t>
                  </w:r>
                </w:p>
              </w:tc>
            </w:tr>
            <w:tr w:rsidR="009C2ACE" w:rsidRPr="009C2ACE" w14:paraId="6480EAD0"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0D776B1D"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3954ECB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3.95 </w:t>
                  </w:r>
                </w:p>
              </w:tc>
              <w:tc>
                <w:tcPr>
                  <w:tcW w:w="920" w:type="dxa"/>
                  <w:tcBorders>
                    <w:top w:val="nil"/>
                    <w:left w:val="nil"/>
                    <w:bottom w:val="single" w:sz="8" w:space="0" w:color="FFFFFF"/>
                    <w:right w:val="single" w:sz="8" w:space="0" w:color="FFFFFF"/>
                  </w:tcBorders>
                  <w:shd w:val="clear" w:color="000000" w:fill="FDE9D9"/>
                  <w:noWrap/>
                  <w:vAlign w:val="center"/>
                  <w:hideMark/>
                </w:tcPr>
                <w:p w14:paraId="0A0AC0C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4.29 </w:t>
                  </w:r>
                </w:p>
              </w:tc>
              <w:tc>
                <w:tcPr>
                  <w:tcW w:w="920" w:type="dxa"/>
                  <w:tcBorders>
                    <w:top w:val="nil"/>
                    <w:left w:val="nil"/>
                    <w:bottom w:val="single" w:sz="8" w:space="0" w:color="FFFFFF"/>
                    <w:right w:val="single" w:sz="8" w:space="0" w:color="FFFFFF"/>
                  </w:tcBorders>
                  <w:shd w:val="clear" w:color="000000" w:fill="FDE9D9"/>
                  <w:noWrap/>
                  <w:vAlign w:val="center"/>
                  <w:hideMark/>
                </w:tcPr>
                <w:p w14:paraId="5992CCB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4.65 </w:t>
                  </w:r>
                </w:p>
              </w:tc>
              <w:tc>
                <w:tcPr>
                  <w:tcW w:w="920" w:type="dxa"/>
                  <w:tcBorders>
                    <w:top w:val="nil"/>
                    <w:left w:val="nil"/>
                    <w:bottom w:val="single" w:sz="8" w:space="0" w:color="FFFFFF"/>
                    <w:right w:val="single" w:sz="8" w:space="0" w:color="FFFFFF"/>
                  </w:tcBorders>
                  <w:shd w:val="clear" w:color="000000" w:fill="FDE9D9"/>
                  <w:noWrap/>
                  <w:vAlign w:val="center"/>
                  <w:hideMark/>
                </w:tcPr>
                <w:p w14:paraId="6FC45F5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7.21 </w:t>
                  </w:r>
                </w:p>
              </w:tc>
              <w:tc>
                <w:tcPr>
                  <w:tcW w:w="1156" w:type="dxa"/>
                  <w:tcBorders>
                    <w:top w:val="nil"/>
                    <w:left w:val="nil"/>
                    <w:bottom w:val="single" w:sz="8" w:space="0" w:color="FFFFFF"/>
                    <w:right w:val="single" w:sz="8" w:space="0" w:color="FFFFFF"/>
                  </w:tcBorders>
                  <w:shd w:val="clear" w:color="000000" w:fill="FDE9D9"/>
                  <w:noWrap/>
                  <w:vAlign w:val="center"/>
                  <w:hideMark/>
                </w:tcPr>
                <w:p w14:paraId="5B89BAA2"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4DC9BDC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0.84 </w:t>
                  </w:r>
                </w:p>
              </w:tc>
              <w:tc>
                <w:tcPr>
                  <w:tcW w:w="920" w:type="dxa"/>
                  <w:tcBorders>
                    <w:top w:val="nil"/>
                    <w:left w:val="nil"/>
                    <w:bottom w:val="single" w:sz="8" w:space="0" w:color="FFFFFF"/>
                    <w:right w:val="single" w:sz="8" w:space="0" w:color="FFFFFF"/>
                  </w:tcBorders>
                  <w:shd w:val="clear" w:color="000000" w:fill="FDE9D9"/>
                  <w:noWrap/>
                  <w:vAlign w:val="center"/>
                  <w:hideMark/>
                </w:tcPr>
                <w:p w14:paraId="4F826ED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1.18 </w:t>
                  </w:r>
                </w:p>
              </w:tc>
              <w:tc>
                <w:tcPr>
                  <w:tcW w:w="920" w:type="dxa"/>
                  <w:tcBorders>
                    <w:top w:val="nil"/>
                    <w:left w:val="nil"/>
                    <w:bottom w:val="single" w:sz="8" w:space="0" w:color="FFFFFF"/>
                    <w:right w:val="single" w:sz="8" w:space="0" w:color="FFFFFF"/>
                  </w:tcBorders>
                  <w:shd w:val="clear" w:color="000000" w:fill="FDE9D9"/>
                  <w:noWrap/>
                  <w:vAlign w:val="center"/>
                  <w:hideMark/>
                </w:tcPr>
                <w:p w14:paraId="59E2BEA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1.55 </w:t>
                  </w:r>
                </w:p>
              </w:tc>
              <w:tc>
                <w:tcPr>
                  <w:tcW w:w="920" w:type="dxa"/>
                  <w:tcBorders>
                    <w:top w:val="nil"/>
                    <w:left w:val="nil"/>
                    <w:bottom w:val="single" w:sz="8" w:space="0" w:color="FFFFFF"/>
                    <w:right w:val="single" w:sz="8" w:space="0" w:color="FFFFFF"/>
                  </w:tcBorders>
                  <w:shd w:val="clear" w:color="000000" w:fill="FDE9D9"/>
                  <w:noWrap/>
                  <w:vAlign w:val="center"/>
                  <w:hideMark/>
                </w:tcPr>
                <w:p w14:paraId="6AB95F1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4.11 </w:t>
                  </w:r>
                </w:p>
              </w:tc>
            </w:tr>
            <w:tr w:rsidR="009C2ACE" w:rsidRPr="009C2ACE" w14:paraId="18D628FB" w14:textId="77777777" w:rsidTr="009C2ACE">
              <w:trPr>
                <w:trHeight w:val="290"/>
              </w:trPr>
              <w:tc>
                <w:tcPr>
                  <w:tcW w:w="1359" w:type="dxa"/>
                  <w:tcBorders>
                    <w:top w:val="nil"/>
                    <w:left w:val="nil"/>
                    <w:bottom w:val="nil"/>
                    <w:right w:val="nil"/>
                  </w:tcBorders>
                  <w:shd w:val="clear" w:color="000000" w:fill="FCD5B4"/>
                  <w:noWrap/>
                  <w:vAlign w:val="center"/>
                  <w:hideMark/>
                </w:tcPr>
                <w:p w14:paraId="40BD0D05"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2FA9626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4.09 </w:t>
                  </w:r>
                </w:p>
              </w:tc>
              <w:tc>
                <w:tcPr>
                  <w:tcW w:w="920" w:type="dxa"/>
                  <w:tcBorders>
                    <w:top w:val="nil"/>
                    <w:left w:val="nil"/>
                    <w:bottom w:val="single" w:sz="8" w:space="0" w:color="FFFFFF"/>
                    <w:right w:val="single" w:sz="8" w:space="0" w:color="FFFFFF"/>
                  </w:tcBorders>
                  <w:shd w:val="clear" w:color="000000" w:fill="FCD5B4"/>
                  <w:noWrap/>
                  <w:vAlign w:val="center"/>
                  <w:hideMark/>
                </w:tcPr>
                <w:p w14:paraId="10306D8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4.46 </w:t>
                  </w:r>
                </w:p>
              </w:tc>
              <w:tc>
                <w:tcPr>
                  <w:tcW w:w="920" w:type="dxa"/>
                  <w:tcBorders>
                    <w:top w:val="nil"/>
                    <w:left w:val="nil"/>
                    <w:bottom w:val="single" w:sz="8" w:space="0" w:color="FFFFFF"/>
                    <w:right w:val="single" w:sz="8" w:space="0" w:color="FFFFFF"/>
                  </w:tcBorders>
                  <w:shd w:val="clear" w:color="000000" w:fill="FCD5B4"/>
                  <w:noWrap/>
                  <w:vAlign w:val="center"/>
                  <w:hideMark/>
                </w:tcPr>
                <w:p w14:paraId="2CE757D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4.83 </w:t>
                  </w:r>
                </w:p>
              </w:tc>
              <w:tc>
                <w:tcPr>
                  <w:tcW w:w="920" w:type="dxa"/>
                  <w:tcBorders>
                    <w:top w:val="nil"/>
                    <w:left w:val="nil"/>
                    <w:bottom w:val="single" w:sz="8" w:space="0" w:color="FFFFFF"/>
                    <w:right w:val="single" w:sz="8" w:space="0" w:color="FFFFFF"/>
                  </w:tcBorders>
                  <w:shd w:val="clear" w:color="000000" w:fill="FCD5B4"/>
                  <w:noWrap/>
                  <w:vAlign w:val="center"/>
                  <w:hideMark/>
                </w:tcPr>
                <w:p w14:paraId="4220E37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7.47 </w:t>
                  </w:r>
                </w:p>
              </w:tc>
              <w:tc>
                <w:tcPr>
                  <w:tcW w:w="1156" w:type="dxa"/>
                  <w:tcBorders>
                    <w:top w:val="nil"/>
                    <w:left w:val="nil"/>
                    <w:bottom w:val="nil"/>
                    <w:right w:val="nil"/>
                  </w:tcBorders>
                  <w:shd w:val="clear" w:color="000000" w:fill="FCD5B4"/>
                  <w:noWrap/>
                  <w:vAlign w:val="center"/>
                  <w:hideMark/>
                </w:tcPr>
                <w:p w14:paraId="02C30D59"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0FE3BCE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0.83 </w:t>
                  </w:r>
                </w:p>
              </w:tc>
              <w:tc>
                <w:tcPr>
                  <w:tcW w:w="920" w:type="dxa"/>
                  <w:tcBorders>
                    <w:top w:val="nil"/>
                    <w:left w:val="nil"/>
                    <w:bottom w:val="single" w:sz="8" w:space="0" w:color="FFFFFF"/>
                    <w:right w:val="single" w:sz="8" w:space="0" w:color="FFFFFF"/>
                  </w:tcBorders>
                  <w:shd w:val="clear" w:color="000000" w:fill="FCD5B4"/>
                  <w:noWrap/>
                  <w:vAlign w:val="center"/>
                  <w:hideMark/>
                </w:tcPr>
                <w:p w14:paraId="2ED23B1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1.20 </w:t>
                  </w:r>
                </w:p>
              </w:tc>
              <w:tc>
                <w:tcPr>
                  <w:tcW w:w="920" w:type="dxa"/>
                  <w:tcBorders>
                    <w:top w:val="nil"/>
                    <w:left w:val="nil"/>
                    <w:bottom w:val="single" w:sz="8" w:space="0" w:color="FFFFFF"/>
                    <w:right w:val="single" w:sz="8" w:space="0" w:color="FFFFFF"/>
                  </w:tcBorders>
                  <w:shd w:val="clear" w:color="000000" w:fill="FCD5B4"/>
                  <w:noWrap/>
                  <w:vAlign w:val="center"/>
                  <w:hideMark/>
                </w:tcPr>
                <w:p w14:paraId="5231BE0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1.57 </w:t>
                  </w:r>
                </w:p>
              </w:tc>
              <w:tc>
                <w:tcPr>
                  <w:tcW w:w="920" w:type="dxa"/>
                  <w:tcBorders>
                    <w:top w:val="nil"/>
                    <w:left w:val="nil"/>
                    <w:bottom w:val="single" w:sz="8" w:space="0" w:color="FFFFFF"/>
                    <w:right w:val="single" w:sz="8" w:space="0" w:color="FFFFFF"/>
                  </w:tcBorders>
                  <w:shd w:val="clear" w:color="000000" w:fill="FCD5B4"/>
                  <w:noWrap/>
                  <w:vAlign w:val="center"/>
                  <w:hideMark/>
                </w:tcPr>
                <w:p w14:paraId="595479E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4.21 </w:t>
                  </w:r>
                </w:p>
              </w:tc>
            </w:tr>
            <w:tr w:rsidR="009C2ACE" w:rsidRPr="009C2ACE" w14:paraId="2062E713" w14:textId="77777777" w:rsidTr="009C2ACE">
              <w:trPr>
                <w:trHeight w:val="150"/>
              </w:trPr>
              <w:tc>
                <w:tcPr>
                  <w:tcW w:w="1359" w:type="dxa"/>
                  <w:tcBorders>
                    <w:top w:val="nil"/>
                    <w:left w:val="nil"/>
                    <w:bottom w:val="nil"/>
                    <w:right w:val="nil"/>
                  </w:tcBorders>
                  <w:shd w:val="clear" w:color="auto" w:fill="auto"/>
                  <w:noWrap/>
                  <w:vAlign w:val="center"/>
                  <w:hideMark/>
                </w:tcPr>
                <w:p w14:paraId="6AEEDB48" w14:textId="77777777" w:rsidR="009C2ACE" w:rsidRPr="009C2ACE" w:rsidRDefault="009C2ACE" w:rsidP="009C2ACE">
                  <w:pPr>
                    <w:widowControl/>
                    <w:jc w:val="center"/>
                    <w:rPr>
                      <w:rFonts w:eastAsia="等线" w:cs="Calibri"/>
                      <w:color w:val="000000"/>
                      <w:kern w:val="0"/>
                      <w:szCs w:val="21"/>
                    </w:rPr>
                  </w:pPr>
                </w:p>
              </w:tc>
              <w:tc>
                <w:tcPr>
                  <w:tcW w:w="919" w:type="dxa"/>
                  <w:tcBorders>
                    <w:top w:val="nil"/>
                    <w:left w:val="nil"/>
                    <w:bottom w:val="nil"/>
                    <w:right w:val="nil"/>
                  </w:tcBorders>
                  <w:shd w:val="clear" w:color="auto" w:fill="auto"/>
                  <w:noWrap/>
                  <w:vAlign w:val="center"/>
                  <w:hideMark/>
                </w:tcPr>
                <w:p w14:paraId="685F388A"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808E8D1"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8D855DE"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1E630B7A" w14:textId="77777777" w:rsidR="009C2ACE" w:rsidRPr="009C2ACE" w:rsidRDefault="009C2ACE" w:rsidP="009C2ACE">
                  <w:pPr>
                    <w:widowControl/>
                    <w:jc w:val="center"/>
                    <w:rPr>
                      <w:rFonts w:ascii="Times New Roman" w:eastAsia="Times New Roman" w:hAnsi="Times New Roman"/>
                      <w:kern w:val="0"/>
                      <w:sz w:val="20"/>
                      <w:szCs w:val="20"/>
                    </w:rPr>
                  </w:pPr>
                </w:p>
              </w:tc>
              <w:tc>
                <w:tcPr>
                  <w:tcW w:w="1156" w:type="dxa"/>
                  <w:tcBorders>
                    <w:top w:val="nil"/>
                    <w:left w:val="nil"/>
                    <w:bottom w:val="nil"/>
                    <w:right w:val="nil"/>
                  </w:tcBorders>
                  <w:shd w:val="clear" w:color="auto" w:fill="auto"/>
                  <w:noWrap/>
                  <w:vAlign w:val="center"/>
                  <w:hideMark/>
                </w:tcPr>
                <w:p w14:paraId="58BC1B77"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43767D65"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3B56B60"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51E519FD"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5D22F020" w14:textId="77777777" w:rsidR="009C2ACE" w:rsidRPr="009C2ACE" w:rsidRDefault="009C2ACE" w:rsidP="009C2ACE">
                  <w:pPr>
                    <w:widowControl/>
                    <w:jc w:val="center"/>
                    <w:rPr>
                      <w:rFonts w:ascii="Times New Roman" w:eastAsia="Times New Roman" w:hAnsi="Times New Roman"/>
                      <w:kern w:val="0"/>
                      <w:sz w:val="20"/>
                      <w:szCs w:val="20"/>
                    </w:rPr>
                  </w:pPr>
                </w:p>
              </w:tc>
            </w:tr>
            <w:tr w:rsidR="009C2ACE" w:rsidRPr="009C2ACE" w14:paraId="34CCBB04" w14:textId="77777777" w:rsidTr="009C2ACE">
              <w:trPr>
                <w:trHeight w:val="290"/>
              </w:trPr>
              <w:tc>
                <w:tcPr>
                  <w:tcW w:w="1359" w:type="dxa"/>
                  <w:tcBorders>
                    <w:top w:val="nil"/>
                    <w:left w:val="nil"/>
                    <w:bottom w:val="single" w:sz="12" w:space="0" w:color="FFFFFF"/>
                    <w:right w:val="single" w:sz="8" w:space="0" w:color="FFFFFF"/>
                  </w:tcBorders>
                  <w:shd w:val="clear" w:color="000000" w:fill="F79646"/>
                  <w:noWrap/>
                  <w:vAlign w:val="center"/>
                  <w:hideMark/>
                </w:tcPr>
                <w:p w14:paraId="0D478984" w14:textId="77777777" w:rsidR="009C2ACE" w:rsidRPr="009C2ACE" w:rsidRDefault="009C2ACE" w:rsidP="009C2ACE">
                  <w:pPr>
                    <w:widowControl/>
                    <w:jc w:val="center"/>
                    <w:rPr>
                      <w:rFonts w:ascii="楷体" w:eastAsia="楷体" w:hAnsi="楷体" w:cs="宋体"/>
                      <w:b/>
                      <w:bCs/>
                      <w:color w:val="FFFFFF"/>
                      <w:kern w:val="0"/>
                      <w:sz w:val="20"/>
                      <w:szCs w:val="20"/>
                    </w:rPr>
                  </w:pPr>
                  <w:proofErr w:type="gramStart"/>
                  <w:r w:rsidRPr="009C2ACE">
                    <w:rPr>
                      <w:rFonts w:ascii="楷体" w:eastAsia="楷体" w:hAnsi="楷体" w:cs="宋体" w:hint="eastAsia"/>
                      <w:b/>
                      <w:bCs/>
                      <w:color w:val="FFFFFF"/>
                      <w:kern w:val="0"/>
                      <w:sz w:val="20"/>
                      <w:szCs w:val="20"/>
                    </w:rPr>
                    <w:t>周变化</w:t>
                  </w:r>
                  <w:proofErr w:type="gramEnd"/>
                  <w:r w:rsidRPr="009C2ACE">
                    <w:rPr>
                      <w:rFonts w:ascii="楷体" w:eastAsia="楷体" w:hAnsi="楷体" w:cs="宋体" w:hint="eastAsia"/>
                      <w:b/>
                      <w:bCs/>
                      <w:color w:val="FFFFFF"/>
                      <w:kern w:val="0"/>
                      <w:sz w:val="20"/>
                      <w:szCs w:val="20"/>
                    </w:rPr>
                    <w:t>(BP)</w:t>
                  </w:r>
                </w:p>
              </w:tc>
              <w:tc>
                <w:tcPr>
                  <w:tcW w:w="919" w:type="dxa"/>
                  <w:tcBorders>
                    <w:top w:val="nil"/>
                    <w:left w:val="nil"/>
                    <w:bottom w:val="single" w:sz="12" w:space="0" w:color="FFFFFF"/>
                    <w:right w:val="single" w:sz="8" w:space="0" w:color="FFFFFF"/>
                  </w:tcBorders>
                  <w:shd w:val="clear" w:color="000000" w:fill="F79646"/>
                  <w:noWrap/>
                  <w:vAlign w:val="center"/>
                  <w:hideMark/>
                </w:tcPr>
                <w:p w14:paraId="0C73369E"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B02FE93"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CED2990"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31606330"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1156" w:type="dxa"/>
                  <w:tcBorders>
                    <w:top w:val="nil"/>
                    <w:left w:val="nil"/>
                    <w:bottom w:val="single" w:sz="12" w:space="0" w:color="FFFFFF"/>
                    <w:right w:val="single" w:sz="8" w:space="0" w:color="FFFFFF"/>
                  </w:tcBorders>
                  <w:shd w:val="clear" w:color="000000" w:fill="F79646"/>
                  <w:noWrap/>
                  <w:vAlign w:val="center"/>
                  <w:hideMark/>
                </w:tcPr>
                <w:p w14:paraId="59C9F53D"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33D205F8"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B3BC8A6"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F8D3BB4"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8385975"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r>
            <w:tr w:rsidR="009C2ACE" w:rsidRPr="009C2ACE" w14:paraId="58D30B7C" w14:textId="77777777" w:rsidTr="009C2ACE">
              <w:trPr>
                <w:trHeight w:val="300"/>
              </w:trPr>
              <w:tc>
                <w:tcPr>
                  <w:tcW w:w="1359" w:type="dxa"/>
                  <w:tcBorders>
                    <w:top w:val="nil"/>
                    <w:left w:val="nil"/>
                    <w:bottom w:val="single" w:sz="8" w:space="0" w:color="FFFFFF"/>
                    <w:right w:val="single" w:sz="8" w:space="0" w:color="FFFFFF"/>
                  </w:tcBorders>
                  <w:shd w:val="clear" w:color="000000" w:fill="FCD5B4"/>
                  <w:noWrap/>
                  <w:vAlign w:val="center"/>
                  <w:hideMark/>
                </w:tcPr>
                <w:p w14:paraId="2D2F564E"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0C0EBD9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-9.1 </w:t>
                  </w:r>
                </w:p>
              </w:tc>
              <w:tc>
                <w:tcPr>
                  <w:tcW w:w="920" w:type="dxa"/>
                  <w:tcBorders>
                    <w:top w:val="nil"/>
                    <w:left w:val="nil"/>
                    <w:bottom w:val="single" w:sz="8" w:space="0" w:color="FFFFFF"/>
                    <w:right w:val="single" w:sz="8" w:space="0" w:color="FFFFFF"/>
                  </w:tcBorders>
                  <w:shd w:val="clear" w:color="000000" w:fill="FCD5B4"/>
                  <w:noWrap/>
                  <w:vAlign w:val="center"/>
                  <w:hideMark/>
                </w:tcPr>
                <w:p w14:paraId="2C8CEA4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-7.1 </w:t>
                  </w:r>
                </w:p>
              </w:tc>
              <w:tc>
                <w:tcPr>
                  <w:tcW w:w="920" w:type="dxa"/>
                  <w:tcBorders>
                    <w:top w:val="nil"/>
                    <w:left w:val="nil"/>
                    <w:bottom w:val="single" w:sz="8" w:space="0" w:color="FFFFFF"/>
                    <w:right w:val="single" w:sz="8" w:space="0" w:color="FFFFFF"/>
                  </w:tcBorders>
                  <w:shd w:val="clear" w:color="000000" w:fill="FCD5B4"/>
                  <w:noWrap/>
                  <w:vAlign w:val="center"/>
                  <w:hideMark/>
                </w:tcPr>
                <w:p w14:paraId="35039EA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66E91FE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-6.1 </w:t>
                  </w:r>
                </w:p>
              </w:tc>
              <w:tc>
                <w:tcPr>
                  <w:tcW w:w="1156" w:type="dxa"/>
                  <w:tcBorders>
                    <w:top w:val="nil"/>
                    <w:left w:val="nil"/>
                    <w:bottom w:val="single" w:sz="8" w:space="0" w:color="FFFFFF"/>
                    <w:right w:val="single" w:sz="8" w:space="0" w:color="FFFFFF"/>
                  </w:tcBorders>
                  <w:shd w:val="clear" w:color="000000" w:fill="FCD5B4"/>
                  <w:noWrap/>
                  <w:vAlign w:val="center"/>
                  <w:hideMark/>
                </w:tcPr>
                <w:p w14:paraId="18793769"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7D4F78D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-6.9 </w:t>
                  </w:r>
                </w:p>
              </w:tc>
              <w:tc>
                <w:tcPr>
                  <w:tcW w:w="920" w:type="dxa"/>
                  <w:tcBorders>
                    <w:top w:val="nil"/>
                    <w:left w:val="nil"/>
                    <w:bottom w:val="single" w:sz="8" w:space="0" w:color="FFFFFF"/>
                    <w:right w:val="single" w:sz="8" w:space="0" w:color="FFFFFF"/>
                  </w:tcBorders>
                  <w:shd w:val="clear" w:color="000000" w:fill="FCD5B4"/>
                  <w:noWrap/>
                  <w:vAlign w:val="center"/>
                  <w:hideMark/>
                </w:tcPr>
                <w:p w14:paraId="6CDC4ED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-4.9 </w:t>
                  </w:r>
                </w:p>
              </w:tc>
              <w:tc>
                <w:tcPr>
                  <w:tcW w:w="920" w:type="dxa"/>
                  <w:tcBorders>
                    <w:top w:val="nil"/>
                    <w:left w:val="nil"/>
                    <w:bottom w:val="single" w:sz="8" w:space="0" w:color="FFFFFF"/>
                    <w:right w:val="single" w:sz="8" w:space="0" w:color="FFFFFF"/>
                  </w:tcBorders>
                  <w:shd w:val="clear" w:color="000000" w:fill="FCD5B4"/>
                  <w:noWrap/>
                  <w:vAlign w:val="center"/>
                  <w:hideMark/>
                </w:tcPr>
                <w:p w14:paraId="5ACA3DF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1BB70F4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-3.9 </w:t>
                  </w:r>
                </w:p>
              </w:tc>
            </w:tr>
            <w:tr w:rsidR="009C2ACE" w:rsidRPr="009C2ACE" w14:paraId="57F0A05C"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336C8052"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64838F5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-2.7 </w:t>
                  </w:r>
                </w:p>
              </w:tc>
              <w:tc>
                <w:tcPr>
                  <w:tcW w:w="920" w:type="dxa"/>
                  <w:tcBorders>
                    <w:top w:val="nil"/>
                    <w:left w:val="nil"/>
                    <w:bottom w:val="single" w:sz="8" w:space="0" w:color="FFFFFF"/>
                    <w:right w:val="single" w:sz="8" w:space="0" w:color="FFFFFF"/>
                  </w:tcBorders>
                  <w:shd w:val="clear" w:color="000000" w:fill="FDE9D9"/>
                  <w:noWrap/>
                  <w:vAlign w:val="center"/>
                  <w:hideMark/>
                </w:tcPr>
                <w:p w14:paraId="261E2C3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-3.7 </w:t>
                  </w:r>
                </w:p>
              </w:tc>
              <w:tc>
                <w:tcPr>
                  <w:tcW w:w="920" w:type="dxa"/>
                  <w:tcBorders>
                    <w:top w:val="nil"/>
                    <w:left w:val="nil"/>
                    <w:bottom w:val="single" w:sz="8" w:space="0" w:color="FFFFFF"/>
                    <w:right w:val="single" w:sz="8" w:space="0" w:color="FFFFFF"/>
                  </w:tcBorders>
                  <w:shd w:val="clear" w:color="000000" w:fill="FDE9D9"/>
                  <w:noWrap/>
                  <w:vAlign w:val="center"/>
                  <w:hideMark/>
                </w:tcPr>
                <w:p w14:paraId="6E92CAE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-1.7 </w:t>
                  </w:r>
                </w:p>
              </w:tc>
              <w:tc>
                <w:tcPr>
                  <w:tcW w:w="920" w:type="dxa"/>
                  <w:tcBorders>
                    <w:top w:val="nil"/>
                    <w:left w:val="nil"/>
                    <w:bottom w:val="single" w:sz="8" w:space="0" w:color="FFFFFF"/>
                    <w:right w:val="single" w:sz="8" w:space="0" w:color="FFFFFF"/>
                  </w:tcBorders>
                  <w:shd w:val="clear" w:color="000000" w:fill="FDE9D9"/>
                  <w:noWrap/>
                  <w:vAlign w:val="center"/>
                  <w:hideMark/>
                </w:tcPr>
                <w:p w14:paraId="107F4EC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-1.7 </w:t>
                  </w:r>
                </w:p>
              </w:tc>
              <w:tc>
                <w:tcPr>
                  <w:tcW w:w="1156" w:type="dxa"/>
                  <w:tcBorders>
                    <w:top w:val="nil"/>
                    <w:left w:val="nil"/>
                    <w:bottom w:val="single" w:sz="8" w:space="0" w:color="FFFFFF"/>
                    <w:right w:val="single" w:sz="8" w:space="0" w:color="FFFFFF"/>
                  </w:tcBorders>
                  <w:shd w:val="clear" w:color="000000" w:fill="FDE9D9"/>
                  <w:noWrap/>
                  <w:vAlign w:val="center"/>
                  <w:hideMark/>
                </w:tcPr>
                <w:p w14:paraId="7EFEAF36"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0B94B94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-5.1 </w:t>
                  </w:r>
                </w:p>
              </w:tc>
              <w:tc>
                <w:tcPr>
                  <w:tcW w:w="920" w:type="dxa"/>
                  <w:tcBorders>
                    <w:top w:val="nil"/>
                    <w:left w:val="nil"/>
                    <w:bottom w:val="single" w:sz="8" w:space="0" w:color="FFFFFF"/>
                    <w:right w:val="single" w:sz="8" w:space="0" w:color="FFFFFF"/>
                  </w:tcBorders>
                  <w:shd w:val="clear" w:color="000000" w:fill="FDE9D9"/>
                  <w:noWrap/>
                  <w:vAlign w:val="center"/>
                  <w:hideMark/>
                </w:tcPr>
                <w:p w14:paraId="6394D30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-6.1 </w:t>
                  </w:r>
                </w:p>
              </w:tc>
              <w:tc>
                <w:tcPr>
                  <w:tcW w:w="920" w:type="dxa"/>
                  <w:tcBorders>
                    <w:top w:val="nil"/>
                    <w:left w:val="nil"/>
                    <w:bottom w:val="single" w:sz="8" w:space="0" w:color="FFFFFF"/>
                    <w:right w:val="single" w:sz="8" w:space="0" w:color="FFFFFF"/>
                  </w:tcBorders>
                  <w:shd w:val="clear" w:color="000000" w:fill="FDE9D9"/>
                  <w:noWrap/>
                  <w:vAlign w:val="center"/>
                  <w:hideMark/>
                </w:tcPr>
                <w:p w14:paraId="5F6F8AA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-4.1 </w:t>
                  </w:r>
                </w:p>
              </w:tc>
              <w:tc>
                <w:tcPr>
                  <w:tcW w:w="920" w:type="dxa"/>
                  <w:tcBorders>
                    <w:top w:val="nil"/>
                    <w:left w:val="nil"/>
                    <w:bottom w:val="single" w:sz="8" w:space="0" w:color="FFFFFF"/>
                    <w:right w:val="single" w:sz="8" w:space="0" w:color="FFFFFF"/>
                  </w:tcBorders>
                  <w:shd w:val="clear" w:color="000000" w:fill="FDE9D9"/>
                  <w:noWrap/>
                  <w:vAlign w:val="center"/>
                  <w:hideMark/>
                </w:tcPr>
                <w:p w14:paraId="552718D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-4.1 </w:t>
                  </w:r>
                </w:p>
              </w:tc>
            </w:tr>
            <w:tr w:rsidR="009C2ACE" w:rsidRPr="009C2ACE" w14:paraId="549F7B2A"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4544C25D"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79E1348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-1.0 </w:t>
                  </w:r>
                </w:p>
              </w:tc>
              <w:tc>
                <w:tcPr>
                  <w:tcW w:w="920" w:type="dxa"/>
                  <w:tcBorders>
                    <w:top w:val="nil"/>
                    <w:left w:val="nil"/>
                    <w:bottom w:val="single" w:sz="8" w:space="0" w:color="FFFFFF"/>
                    <w:right w:val="single" w:sz="8" w:space="0" w:color="FFFFFF"/>
                  </w:tcBorders>
                  <w:shd w:val="clear" w:color="000000" w:fill="FCD5B4"/>
                  <w:noWrap/>
                  <w:vAlign w:val="center"/>
                  <w:hideMark/>
                </w:tcPr>
                <w:p w14:paraId="4FAA5CC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55B6A18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-7.0 </w:t>
                  </w:r>
                </w:p>
              </w:tc>
              <w:tc>
                <w:tcPr>
                  <w:tcW w:w="920" w:type="dxa"/>
                  <w:tcBorders>
                    <w:top w:val="nil"/>
                    <w:left w:val="nil"/>
                    <w:bottom w:val="single" w:sz="8" w:space="0" w:color="FFFFFF"/>
                    <w:right w:val="single" w:sz="8" w:space="0" w:color="FFFFFF"/>
                  </w:tcBorders>
                  <w:shd w:val="clear" w:color="000000" w:fill="FCD5B4"/>
                  <w:noWrap/>
                  <w:vAlign w:val="center"/>
                  <w:hideMark/>
                </w:tcPr>
                <w:p w14:paraId="5A6074D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-7.0 </w:t>
                  </w:r>
                </w:p>
              </w:tc>
              <w:tc>
                <w:tcPr>
                  <w:tcW w:w="1156" w:type="dxa"/>
                  <w:tcBorders>
                    <w:top w:val="nil"/>
                    <w:left w:val="nil"/>
                    <w:bottom w:val="single" w:sz="8" w:space="0" w:color="FFFFFF"/>
                    <w:right w:val="single" w:sz="8" w:space="0" w:color="FFFFFF"/>
                  </w:tcBorders>
                  <w:shd w:val="clear" w:color="000000" w:fill="FCD5B4"/>
                  <w:noWrap/>
                  <w:vAlign w:val="center"/>
                  <w:hideMark/>
                </w:tcPr>
                <w:p w14:paraId="416F350C"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252D82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-3.7 </w:t>
                  </w:r>
                </w:p>
              </w:tc>
              <w:tc>
                <w:tcPr>
                  <w:tcW w:w="920" w:type="dxa"/>
                  <w:tcBorders>
                    <w:top w:val="nil"/>
                    <w:left w:val="nil"/>
                    <w:bottom w:val="single" w:sz="8" w:space="0" w:color="FFFFFF"/>
                    <w:right w:val="single" w:sz="8" w:space="0" w:color="FFFFFF"/>
                  </w:tcBorders>
                  <w:shd w:val="clear" w:color="000000" w:fill="FCD5B4"/>
                  <w:noWrap/>
                  <w:vAlign w:val="center"/>
                  <w:hideMark/>
                </w:tcPr>
                <w:p w14:paraId="1F3A9B3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-8.7 </w:t>
                  </w:r>
                </w:p>
              </w:tc>
              <w:tc>
                <w:tcPr>
                  <w:tcW w:w="920" w:type="dxa"/>
                  <w:tcBorders>
                    <w:top w:val="nil"/>
                    <w:left w:val="nil"/>
                    <w:bottom w:val="single" w:sz="8" w:space="0" w:color="FFFFFF"/>
                    <w:right w:val="single" w:sz="8" w:space="0" w:color="FFFFFF"/>
                  </w:tcBorders>
                  <w:shd w:val="clear" w:color="000000" w:fill="FCD5B4"/>
                  <w:noWrap/>
                  <w:vAlign w:val="center"/>
                  <w:hideMark/>
                </w:tcPr>
                <w:p w14:paraId="266096E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-9.7 </w:t>
                  </w:r>
                </w:p>
              </w:tc>
              <w:tc>
                <w:tcPr>
                  <w:tcW w:w="920" w:type="dxa"/>
                  <w:tcBorders>
                    <w:top w:val="nil"/>
                    <w:left w:val="nil"/>
                    <w:bottom w:val="single" w:sz="8" w:space="0" w:color="FFFFFF"/>
                    <w:right w:val="single" w:sz="8" w:space="0" w:color="FFFFFF"/>
                  </w:tcBorders>
                  <w:shd w:val="clear" w:color="000000" w:fill="FCD5B4"/>
                  <w:noWrap/>
                  <w:vAlign w:val="center"/>
                  <w:hideMark/>
                </w:tcPr>
                <w:p w14:paraId="62899ED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-9.7 </w:t>
                  </w:r>
                </w:p>
              </w:tc>
            </w:tr>
            <w:tr w:rsidR="009C2ACE" w:rsidRPr="009C2ACE" w14:paraId="046A67F9"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0544EB07"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3FF92D2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-5.8 </w:t>
                  </w:r>
                </w:p>
              </w:tc>
              <w:tc>
                <w:tcPr>
                  <w:tcW w:w="920" w:type="dxa"/>
                  <w:tcBorders>
                    <w:top w:val="nil"/>
                    <w:left w:val="nil"/>
                    <w:bottom w:val="single" w:sz="8" w:space="0" w:color="FFFFFF"/>
                    <w:right w:val="single" w:sz="8" w:space="0" w:color="FFFFFF"/>
                  </w:tcBorders>
                  <w:shd w:val="clear" w:color="000000" w:fill="FDE9D9"/>
                  <w:noWrap/>
                  <w:vAlign w:val="center"/>
                  <w:hideMark/>
                </w:tcPr>
                <w:p w14:paraId="55471C0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1.2 </w:t>
                  </w:r>
                </w:p>
              </w:tc>
              <w:tc>
                <w:tcPr>
                  <w:tcW w:w="920" w:type="dxa"/>
                  <w:tcBorders>
                    <w:top w:val="nil"/>
                    <w:left w:val="nil"/>
                    <w:bottom w:val="single" w:sz="8" w:space="0" w:color="FFFFFF"/>
                    <w:right w:val="single" w:sz="8" w:space="0" w:color="FFFFFF"/>
                  </w:tcBorders>
                  <w:shd w:val="clear" w:color="000000" w:fill="FDE9D9"/>
                  <w:noWrap/>
                  <w:vAlign w:val="center"/>
                  <w:hideMark/>
                </w:tcPr>
                <w:p w14:paraId="240BC62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72BCF50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-2.8 </w:t>
                  </w:r>
                </w:p>
              </w:tc>
              <w:tc>
                <w:tcPr>
                  <w:tcW w:w="1156" w:type="dxa"/>
                  <w:tcBorders>
                    <w:top w:val="nil"/>
                    <w:left w:val="nil"/>
                    <w:bottom w:val="single" w:sz="8" w:space="0" w:color="FFFFFF"/>
                    <w:right w:val="single" w:sz="8" w:space="0" w:color="FFFFFF"/>
                  </w:tcBorders>
                  <w:shd w:val="clear" w:color="000000" w:fill="FDE9D9"/>
                  <w:noWrap/>
                  <w:vAlign w:val="center"/>
                  <w:hideMark/>
                </w:tcPr>
                <w:p w14:paraId="5610A585"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57AABDF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-8.2 </w:t>
                  </w:r>
                </w:p>
              </w:tc>
              <w:tc>
                <w:tcPr>
                  <w:tcW w:w="920" w:type="dxa"/>
                  <w:tcBorders>
                    <w:top w:val="nil"/>
                    <w:left w:val="nil"/>
                    <w:bottom w:val="single" w:sz="8" w:space="0" w:color="FFFFFF"/>
                    <w:right w:val="single" w:sz="8" w:space="0" w:color="FFFFFF"/>
                  </w:tcBorders>
                  <w:shd w:val="clear" w:color="000000" w:fill="FDE9D9"/>
                  <w:noWrap/>
                  <w:vAlign w:val="center"/>
                  <w:hideMark/>
                </w:tcPr>
                <w:p w14:paraId="4C45FCE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-1.2 </w:t>
                  </w:r>
                </w:p>
              </w:tc>
              <w:tc>
                <w:tcPr>
                  <w:tcW w:w="920" w:type="dxa"/>
                  <w:tcBorders>
                    <w:top w:val="nil"/>
                    <w:left w:val="nil"/>
                    <w:bottom w:val="single" w:sz="8" w:space="0" w:color="FFFFFF"/>
                    <w:right w:val="single" w:sz="8" w:space="0" w:color="FFFFFF"/>
                  </w:tcBorders>
                  <w:shd w:val="clear" w:color="000000" w:fill="FDE9D9"/>
                  <w:noWrap/>
                  <w:vAlign w:val="center"/>
                  <w:hideMark/>
                </w:tcPr>
                <w:p w14:paraId="3404EE4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-5.2 </w:t>
                  </w:r>
                </w:p>
              </w:tc>
              <w:tc>
                <w:tcPr>
                  <w:tcW w:w="920" w:type="dxa"/>
                  <w:tcBorders>
                    <w:top w:val="nil"/>
                    <w:left w:val="nil"/>
                    <w:bottom w:val="single" w:sz="8" w:space="0" w:color="FFFFFF"/>
                    <w:right w:val="single" w:sz="8" w:space="0" w:color="FFFFFF"/>
                  </w:tcBorders>
                  <w:shd w:val="clear" w:color="000000" w:fill="FDE9D9"/>
                  <w:noWrap/>
                  <w:vAlign w:val="center"/>
                  <w:hideMark/>
                </w:tcPr>
                <w:p w14:paraId="3C36265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-5.2 </w:t>
                  </w:r>
                </w:p>
              </w:tc>
            </w:tr>
            <w:tr w:rsidR="009C2ACE" w:rsidRPr="009C2ACE" w14:paraId="7E3933D5"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0123790D"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48E7A70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-4.3 </w:t>
                  </w:r>
                </w:p>
              </w:tc>
              <w:tc>
                <w:tcPr>
                  <w:tcW w:w="920" w:type="dxa"/>
                  <w:tcBorders>
                    <w:top w:val="nil"/>
                    <w:left w:val="nil"/>
                    <w:bottom w:val="single" w:sz="8" w:space="0" w:color="FFFFFF"/>
                    <w:right w:val="single" w:sz="8" w:space="0" w:color="FFFFFF"/>
                  </w:tcBorders>
                  <w:shd w:val="clear" w:color="000000" w:fill="FCD5B4"/>
                  <w:noWrap/>
                  <w:vAlign w:val="center"/>
                  <w:hideMark/>
                </w:tcPr>
                <w:p w14:paraId="79FFF0C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-1.3 </w:t>
                  </w:r>
                </w:p>
              </w:tc>
              <w:tc>
                <w:tcPr>
                  <w:tcW w:w="920" w:type="dxa"/>
                  <w:tcBorders>
                    <w:top w:val="nil"/>
                    <w:left w:val="nil"/>
                    <w:bottom w:val="single" w:sz="8" w:space="0" w:color="FFFFFF"/>
                    <w:right w:val="single" w:sz="8" w:space="0" w:color="FFFFFF"/>
                  </w:tcBorders>
                  <w:shd w:val="clear" w:color="000000" w:fill="FCD5B4"/>
                  <w:noWrap/>
                  <w:vAlign w:val="center"/>
                  <w:hideMark/>
                </w:tcPr>
                <w:p w14:paraId="6AC4751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-4.3 </w:t>
                  </w:r>
                </w:p>
              </w:tc>
              <w:tc>
                <w:tcPr>
                  <w:tcW w:w="920" w:type="dxa"/>
                  <w:tcBorders>
                    <w:top w:val="nil"/>
                    <w:left w:val="nil"/>
                    <w:bottom w:val="single" w:sz="8" w:space="0" w:color="FFFFFF"/>
                    <w:right w:val="single" w:sz="8" w:space="0" w:color="FFFFFF"/>
                  </w:tcBorders>
                  <w:shd w:val="clear" w:color="000000" w:fill="FCD5B4"/>
                  <w:noWrap/>
                  <w:vAlign w:val="center"/>
                  <w:hideMark/>
                </w:tcPr>
                <w:p w14:paraId="0DCD67D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-4.3 </w:t>
                  </w:r>
                </w:p>
              </w:tc>
              <w:tc>
                <w:tcPr>
                  <w:tcW w:w="1156" w:type="dxa"/>
                  <w:tcBorders>
                    <w:top w:val="nil"/>
                    <w:left w:val="nil"/>
                    <w:bottom w:val="single" w:sz="8" w:space="0" w:color="FFFFFF"/>
                    <w:right w:val="single" w:sz="8" w:space="0" w:color="FFFFFF"/>
                  </w:tcBorders>
                  <w:shd w:val="clear" w:color="000000" w:fill="FCD5B4"/>
                  <w:noWrap/>
                  <w:vAlign w:val="center"/>
                  <w:hideMark/>
                </w:tcPr>
                <w:p w14:paraId="1C15BDFC"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0926315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-7.0 </w:t>
                  </w:r>
                </w:p>
              </w:tc>
              <w:tc>
                <w:tcPr>
                  <w:tcW w:w="920" w:type="dxa"/>
                  <w:tcBorders>
                    <w:top w:val="nil"/>
                    <w:left w:val="nil"/>
                    <w:bottom w:val="single" w:sz="8" w:space="0" w:color="FFFFFF"/>
                    <w:right w:val="single" w:sz="8" w:space="0" w:color="FFFFFF"/>
                  </w:tcBorders>
                  <w:shd w:val="clear" w:color="000000" w:fill="FCD5B4"/>
                  <w:noWrap/>
                  <w:vAlign w:val="center"/>
                  <w:hideMark/>
                </w:tcPr>
                <w:p w14:paraId="193F59F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-4.0 </w:t>
                  </w:r>
                </w:p>
              </w:tc>
              <w:tc>
                <w:tcPr>
                  <w:tcW w:w="920" w:type="dxa"/>
                  <w:tcBorders>
                    <w:top w:val="nil"/>
                    <w:left w:val="nil"/>
                    <w:bottom w:val="single" w:sz="8" w:space="0" w:color="FFFFFF"/>
                    <w:right w:val="single" w:sz="8" w:space="0" w:color="FFFFFF"/>
                  </w:tcBorders>
                  <w:shd w:val="clear" w:color="000000" w:fill="FCD5B4"/>
                  <w:noWrap/>
                  <w:vAlign w:val="center"/>
                  <w:hideMark/>
                </w:tcPr>
                <w:p w14:paraId="2E6BAC5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-7.0 </w:t>
                  </w:r>
                </w:p>
              </w:tc>
              <w:tc>
                <w:tcPr>
                  <w:tcW w:w="920" w:type="dxa"/>
                  <w:tcBorders>
                    <w:top w:val="nil"/>
                    <w:left w:val="nil"/>
                    <w:bottom w:val="single" w:sz="8" w:space="0" w:color="FFFFFF"/>
                    <w:right w:val="single" w:sz="8" w:space="0" w:color="FFFFFF"/>
                  </w:tcBorders>
                  <w:shd w:val="clear" w:color="000000" w:fill="FCD5B4"/>
                  <w:noWrap/>
                  <w:vAlign w:val="center"/>
                  <w:hideMark/>
                </w:tcPr>
                <w:p w14:paraId="73BEEA8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-7.0 </w:t>
                  </w:r>
                </w:p>
              </w:tc>
            </w:tr>
            <w:tr w:rsidR="009C2ACE" w:rsidRPr="009C2ACE" w14:paraId="6B456E2E"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73866218"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056E2C5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-1.1 </w:t>
                  </w:r>
                </w:p>
              </w:tc>
              <w:tc>
                <w:tcPr>
                  <w:tcW w:w="920" w:type="dxa"/>
                  <w:tcBorders>
                    <w:top w:val="nil"/>
                    <w:left w:val="nil"/>
                    <w:bottom w:val="single" w:sz="8" w:space="0" w:color="FFFFFF"/>
                    <w:right w:val="single" w:sz="8" w:space="0" w:color="FFFFFF"/>
                  </w:tcBorders>
                  <w:shd w:val="clear" w:color="000000" w:fill="FDE9D9"/>
                  <w:noWrap/>
                  <w:vAlign w:val="center"/>
                  <w:hideMark/>
                </w:tcPr>
                <w:p w14:paraId="6EA764D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1.9 </w:t>
                  </w:r>
                </w:p>
              </w:tc>
              <w:tc>
                <w:tcPr>
                  <w:tcW w:w="920" w:type="dxa"/>
                  <w:tcBorders>
                    <w:top w:val="nil"/>
                    <w:left w:val="nil"/>
                    <w:bottom w:val="single" w:sz="8" w:space="0" w:color="FFFFFF"/>
                    <w:right w:val="single" w:sz="8" w:space="0" w:color="FFFFFF"/>
                  </w:tcBorders>
                  <w:shd w:val="clear" w:color="000000" w:fill="FDE9D9"/>
                  <w:noWrap/>
                  <w:vAlign w:val="center"/>
                  <w:hideMark/>
                </w:tcPr>
                <w:p w14:paraId="26D53DA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-2.1 </w:t>
                  </w:r>
                </w:p>
              </w:tc>
              <w:tc>
                <w:tcPr>
                  <w:tcW w:w="920" w:type="dxa"/>
                  <w:tcBorders>
                    <w:top w:val="nil"/>
                    <w:left w:val="nil"/>
                    <w:bottom w:val="single" w:sz="8" w:space="0" w:color="FFFFFF"/>
                    <w:right w:val="single" w:sz="8" w:space="0" w:color="FFFFFF"/>
                  </w:tcBorders>
                  <w:shd w:val="clear" w:color="000000" w:fill="FDE9D9"/>
                  <w:noWrap/>
                  <w:vAlign w:val="center"/>
                  <w:hideMark/>
                </w:tcPr>
                <w:p w14:paraId="5DAB726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-2.1 </w:t>
                  </w:r>
                </w:p>
              </w:tc>
              <w:tc>
                <w:tcPr>
                  <w:tcW w:w="1156" w:type="dxa"/>
                  <w:tcBorders>
                    <w:top w:val="nil"/>
                    <w:left w:val="nil"/>
                    <w:bottom w:val="single" w:sz="8" w:space="0" w:color="FFFFFF"/>
                    <w:right w:val="single" w:sz="8" w:space="0" w:color="FFFFFF"/>
                  </w:tcBorders>
                  <w:shd w:val="clear" w:color="000000" w:fill="FDE9D9"/>
                  <w:noWrap/>
                  <w:vAlign w:val="center"/>
                  <w:hideMark/>
                </w:tcPr>
                <w:p w14:paraId="1550DCD8"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5A3514D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-4.5 </w:t>
                  </w:r>
                </w:p>
              </w:tc>
              <w:tc>
                <w:tcPr>
                  <w:tcW w:w="920" w:type="dxa"/>
                  <w:tcBorders>
                    <w:top w:val="nil"/>
                    <w:left w:val="nil"/>
                    <w:bottom w:val="single" w:sz="8" w:space="0" w:color="FFFFFF"/>
                    <w:right w:val="single" w:sz="8" w:space="0" w:color="FFFFFF"/>
                  </w:tcBorders>
                  <w:shd w:val="clear" w:color="000000" w:fill="FDE9D9"/>
                  <w:noWrap/>
                  <w:vAlign w:val="center"/>
                  <w:hideMark/>
                </w:tcPr>
                <w:p w14:paraId="416E970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-1.5 </w:t>
                  </w:r>
                </w:p>
              </w:tc>
              <w:tc>
                <w:tcPr>
                  <w:tcW w:w="920" w:type="dxa"/>
                  <w:tcBorders>
                    <w:top w:val="nil"/>
                    <w:left w:val="nil"/>
                    <w:bottom w:val="single" w:sz="8" w:space="0" w:color="FFFFFF"/>
                    <w:right w:val="single" w:sz="8" w:space="0" w:color="FFFFFF"/>
                  </w:tcBorders>
                  <w:shd w:val="clear" w:color="000000" w:fill="FDE9D9"/>
                  <w:noWrap/>
                  <w:vAlign w:val="center"/>
                  <w:hideMark/>
                </w:tcPr>
                <w:p w14:paraId="4AA42C6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-5.5 </w:t>
                  </w:r>
                </w:p>
              </w:tc>
              <w:tc>
                <w:tcPr>
                  <w:tcW w:w="920" w:type="dxa"/>
                  <w:tcBorders>
                    <w:top w:val="nil"/>
                    <w:left w:val="nil"/>
                    <w:bottom w:val="single" w:sz="8" w:space="0" w:color="FFFFFF"/>
                    <w:right w:val="single" w:sz="8" w:space="0" w:color="FFFFFF"/>
                  </w:tcBorders>
                  <w:shd w:val="clear" w:color="000000" w:fill="FDE9D9"/>
                  <w:noWrap/>
                  <w:vAlign w:val="center"/>
                  <w:hideMark/>
                </w:tcPr>
                <w:p w14:paraId="17491F6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-5.5 </w:t>
                  </w:r>
                </w:p>
              </w:tc>
            </w:tr>
            <w:tr w:rsidR="009C2ACE" w:rsidRPr="009C2ACE" w14:paraId="3BDBF368"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61A0BF6A"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6EDC242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0E6362B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-5.9 </w:t>
                  </w:r>
                </w:p>
              </w:tc>
              <w:tc>
                <w:tcPr>
                  <w:tcW w:w="920" w:type="dxa"/>
                  <w:tcBorders>
                    <w:top w:val="nil"/>
                    <w:left w:val="nil"/>
                    <w:bottom w:val="single" w:sz="8" w:space="0" w:color="FFFFFF"/>
                    <w:right w:val="single" w:sz="8" w:space="0" w:color="FFFFFF"/>
                  </w:tcBorders>
                  <w:shd w:val="clear" w:color="000000" w:fill="FCD5B4"/>
                  <w:noWrap/>
                  <w:vAlign w:val="center"/>
                  <w:hideMark/>
                </w:tcPr>
                <w:p w14:paraId="15CF57E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4E6C2D0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1.1 </w:t>
                  </w:r>
                </w:p>
              </w:tc>
              <w:tc>
                <w:tcPr>
                  <w:tcW w:w="1156" w:type="dxa"/>
                  <w:tcBorders>
                    <w:top w:val="nil"/>
                    <w:left w:val="nil"/>
                    <w:bottom w:val="single" w:sz="8" w:space="0" w:color="FFFFFF"/>
                    <w:right w:val="single" w:sz="8" w:space="0" w:color="FFFFFF"/>
                  </w:tcBorders>
                  <w:shd w:val="clear" w:color="000000" w:fill="FCD5B4"/>
                  <w:noWrap/>
                  <w:vAlign w:val="center"/>
                  <w:hideMark/>
                </w:tcPr>
                <w:p w14:paraId="270960C2"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DD1B0D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-6.3 </w:t>
                  </w:r>
                </w:p>
              </w:tc>
              <w:tc>
                <w:tcPr>
                  <w:tcW w:w="920" w:type="dxa"/>
                  <w:tcBorders>
                    <w:top w:val="nil"/>
                    <w:left w:val="nil"/>
                    <w:bottom w:val="single" w:sz="8" w:space="0" w:color="FFFFFF"/>
                    <w:right w:val="single" w:sz="8" w:space="0" w:color="FFFFFF"/>
                  </w:tcBorders>
                  <w:shd w:val="clear" w:color="000000" w:fill="FCD5B4"/>
                  <w:noWrap/>
                  <w:vAlign w:val="center"/>
                  <w:hideMark/>
                </w:tcPr>
                <w:p w14:paraId="6079208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-8.3 </w:t>
                  </w:r>
                </w:p>
              </w:tc>
              <w:tc>
                <w:tcPr>
                  <w:tcW w:w="920" w:type="dxa"/>
                  <w:tcBorders>
                    <w:top w:val="nil"/>
                    <w:left w:val="nil"/>
                    <w:bottom w:val="single" w:sz="8" w:space="0" w:color="FFFFFF"/>
                    <w:right w:val="single" w:sz="8" w:space="0" w:color="FFFFFF"/>
                  </w:tcBorders>
                  <w:shd w:val="clear" w:color="000000" w:fill="FCD5B4"/>
                  <w:noWrap/>
                  <w:vAlign w:val="center"/>
                  <w:hideMark/>
                </w:tcPr>
                <w:p w14:paraId="21E2F79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-6.3 </w:t>
                  </w:r>
                </w:p>
              </w:tc>
              <w:tc>
                <w:tcPr>
                  <w:tcW w:w="920" w:type="dxa"/>
                  <w:tcBorders>
                    <w:top w:val="nil"/>
                    <w:left w:val="nil"/>
                    <w:bottom w:val="single" w:sz="8" w:space="0" w:color="FFFFFF"/>
                    <w:right w:val="single" w:sz="8" w:space="0" w:color="FFFFFF"/>
                  </w:tcBorders>
                  <w:shd w:val="clear" w:color="000000" w:fill="FCD5B4"/>
                  <w:noWrap/>
                  <w:vAlign w:val="center"/>
                  <w:hideMark/>
                </w:tcPr>
                <w:p w14:paraId="1B4186C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-1.3 </w:t>
                  </w:r>
                </w:p>
              </w:tc>
            </w:tr>
            <w:tr w:rsidR="009C2ACE" w:rsidRPr="009C2ACE" w14:paraId="7991F24B"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0015AD55"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5AA7537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2.3 </w:t>
                  </w:r>
                </w:p>
              </w:tc>
              <w:tc>
                <w:tcPr>
                  <w:tcW w:w="920" w:type="dxa"/>
                  <w:tcBorders>
                    <w:top w:val="nil"/>
                    <w:left w:val="nil"/>
                    <w:bottom w:val="single" w:sz="8" w:space="0" w:color="FFFFFF"/>
                    <w:right w:val="single" w:sz="8" w:space="0" w:color="FFFFFF"/>
                  </w:tcBorders>
                  <w:shd w:val="clear" w:color="000000" w:fill="FDE9D9"/>
                  <w:noWrap/>
                  <w:vAlign w:val="center"/>
                  <w:hideMark/>
                </w:tcPr>
                <w:p w14:paraId="603A084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0.3 </w:t>
                  </w:r>
                </w:p>
              </w:tc>
              <w:tc>
                <w:tcPr>
                  <w:tcW w:w="920" w:type="dxa"/>
                  <w:tcBorders>
                    <w:top w:val="nil"/>
                    <w:left w:val="nil"/>
                    <w:bottom w:val="single" w:sz="8" w:space="0" w:color="FFFFFF"/>
                    <w:right w:val="single" w:sz="8" w:space="0" w:color="FFFFFF"/>
                  </w:tcBorders>
                  <w:shd w:val="clear" w:color="000000" w:fill="FDE9D9"/>
                  <w:noWrap/>
                  <w:vAlign w:val="center"/>
                  <w:hideMark/>
                </w:tcPr>
                <w:p w14:paraId="2D5C393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1.3 </w:t>
                  </w:r>
                </w:p>
              </w:tc>
              <w:tc>
                <w:tcPr>
                  <w:tcW w:w="920" w:type="dxa"/>
                  <w:tcBorders>
                    <w:top w:val="nil"/>
                    <w:left w:val="nil"/>
                    <w:bottom w:val="single" w:sz="8" w:space="0" w:color="FFFFFF"/>
                    <w:right w:val="single" w:sz="8" w:space="0" w:color="FFFFFF"/>
                  </w:tcBorders>
                  <w:shd w:val="clear" w:color="000000" w:fill="FDE9D9"/>
                  <w:noWrap/>
                  <w:vAlign w:val="center"/>
                  <w:hideMark/>
                </w:tcPr>
                <w:p w14:paraId="460B363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6.3 </w:t>
                  </w:r>
                </w:p>
              </w:tc>
              <w:tc>
                <w:tcPr>
                  <w:tcW w:w="1156" w:type="dxa"/>
                  <w:tcBorders>
                    <w:top w:val="nil"/>
                    <w:left w:val="nil"/>
                    <w:bottom w:val="single" w:sz="8" w:space="0" w:color="FFFFFF"/>
                    <w:right w:val="single" w:sz="8" w:space="0" w:color="FFFFFF"/>
                  </w:tcBorders>
                  <w:shd w:val="clear" w:color="000000" w:fill="FDE9D9"/>
                  <w:noWrap/>
                  <w:vAlign w:val="center"/>
                  <w:hideMark/>
                </w:tcPr>
                <w:p w14:paraId="372BA9E8"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2121FF8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-0.3 </w:t>
                  </w:r>
                </w:p>
              </w:tc>
              <w:tc>
                <w:tcPr>
                  <w:tcW w:w="920" w:type="dxa"/>
                  <w:tcBorders>
                    <w:top w:val="nil"/>
                    <w:left w:val="nil"/>
                    <w:bottom w:val="single" w:sz="8" w:space="0" w:color="FFFFFF"/>
                    <w:right w:val="single" w:sz="8" w:space="0" w:color="FFFFFF"/>
                  </w:tcBorders>
                  <w:shd w:val="clear" w:color="000000" w:fill="FDE9D9"/>
                  <w:noWrap/>
                  <w:vAlign w:val="center"/>
                  <w:hideMark/>
                </w:tcPr>
                <w:p w14:paraId="3054942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-2.3 </w:t>
                  </w:r>
                </w:p>
              </w:tc>
              <w:tc>
                <w:tcPr>
                  <w:tcW w:w="920" w:type="dxa"/>
                  <w:tcBorders>
                    <w:top w:val="nil"/>
                    <w:left w:val="nil"/>
                    <w:bottom w:val="single" w:sz="8" w:space="0" w:color="FFFFFF"/>
                    <w:right w:val="single" w:sz="8" w:space="0" w:color="FFFFFF"/>
                  </w:tcBorders>
                  <w:shd w:val="clear" w:color="000000" w:fill="FDE9D9"/>
                  <w:noWrap/>
                  <w:vAlign w:val="center"/>
                  <w:hideMark/>
                </w:tcPr>
                <w:p w14:paraId="37C4087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-1.3 </w:t>
                  </w:r>
                </w:p>
              </w:tc>
              <w:tc>
                <w:tcPr>
                  <w:tcW w:w="920" w:type="dxa"/>
                  <w:tcBorders>
                    <w:top w:val="nil"/>
                    <w:left w:val="nil"/>
                    <w:bottom w:val="single" w:sz="8" w:space="0" w:color="FFFFFF"/>
                    <w:right w:val="single" w:sz="8" w:space="0" w:color="FFFFFF"/>
                  </w:tcBorders>
                  <w:shd w:val="clear" w:color="000000" w:fill="FDE9D9"/>
                  <w:noWrap/>
                  <w:vAlign w:val="center"/>
                  <w:hideMark/>
                </w:tcPr>
                <w:p w14:paraId="7685797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3.7 </w:t>
                  </w:r>
                </w:p>
              </w:tc>
            </w:tr>
            <w:tr w:rsidR="009C2ACE" w:rsidRPr="009C2ACE" w14:paraId="1824CAA4" w14:textId="77777777" w:rsidTr="009C2ACE">
              <w:trPr>
                <w:trHeight w:val="290"/>
              </w:trPr>
              <w:tc>
                <w:tcPr>
                  <w:tcW w:w="1359" w:type="dxa"/>
                  <w:tcBorders>
                    <w:top w:val="nil"/>
                    <w:left w:val="nil"/>
                    <w:bottom w:val="nil"/>
                    <w:right w:val="nil"/>
                  </w:tcBorders>
                  <w:shd w:val="clear" w:color="000000" w:fill="FCD5B4"/>
                  <w:noWrap/>
                  <w:vAlign w:val="center"/>
                  <w:hideMark/>
                </w:tcPr>
                <w:p w14:paraId="6F091144"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49E85EC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7289DD7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2E02669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0.9 </w:t>
                  </w:r>
                </w:p>
              </w:tc>
              <w:tc>
                <w:tcPr>
                  <w:tcW w:w="920" w:type="dxa"/>
                  <w:tcBorders>
                    <w:top w:val="nil"/>
                    <w:left w:val="nil"/>
                    <w:bottom w:val="single" w:sz="8" w:space="0" w:color="FFFFFF"/>
                    <w:right w:val="single" w:sz="8" w:space="0" w:color="FFFFFF"/>
                  </w:tcBorders>
                  <w:shd w:val="clear" w:color="000000" w:fill="FCD5B4"/>
                  <w:noWrap/>
                  <w:vAlign w:val="center"/>
                  <w:hideMark/>
                </w:tcPr>
                <w:p w14:paraId="2D267D9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 xml:space="preserve">2.9 </w:t>
                  </w:r>
                </w:p>
              </w:tc>
              <w:tc>
                <w:tcPr>
                  <w:tcW w:w="1156" w:type="dxa"/>
                  <w:tcBorders>
                    <w:top w:val="nil"/>
                    <w:left w:val="nil"/>
                    <w:bottom w:val="nil"/>
                    <w:right w:val="nil"/>
                  </w:tcBorders>
                  <w:shd w:val="clear" w:color="000000" w:fill="FCD5B4"/>
                  <w:noWrap/>
                  <w:vAlign w:val="center"/>
                  <w:hideMark/>
                </w:tcPr>
                <w:p w14:paraId="38AD797A"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721A12D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-4.5 </w:t>
                  </w:r>
                </w:p>
              </w:tc>
              <w:tc>
                <w:tcPr>
                  <w:tcW w:w="920" w:type="dxa"/>
                  <w:tcBorders>
                    <w:top w:val="nil"/>
                    <w:left w:val="nil"/>
                    <w:bottom w:val="single" w:sz="8" w:space="0" w:color="FFFFFF"/>
                    <w:right w:val="single" w:sz="8" w:space="0" w:color="FFFFFF"/>
                  </w:tcBorders>
                  <w:shd w:val="clear" w:color="000000" w:fill="FCD5B4"/>
                  <w:noWrap/>
                  <w:vAlign w:val="center"/>
                  <w:hideMark/>
                </w:tcPr>
                <w:p w14:paraId="6D50991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-3.5 </w:t>
                  </w:r>
                </w:p>
              </w:tc>
              <w:tc>
                <w:tcPr>
                  <w:tcW w:w="920" w:type="dxa"/>
                  <w:tcBorders>
                    <w:top w:val="nil"/>
                    <w:left w:val="nil"/>
                    <w:bottom w:val="single" w:sz="8" w:space="0" w:color="FFFFFF"/>
                    <w:right w:val="single" w:sz="8" w:space="0" w:color="FFFFFF"/>
                  </w:tcBorders>
                  <w:shd w:val="clear" w:color="000000" w:fill="FCD5B4"/>
                  <w:noWrap/>
                  <w:vAlign w:val="center"/>
                  <w:hideMark/>
                </w:tcPr>
                <w:p w14:paraId="480D036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-2.5 </w:t>
                  </w:r>
                </w:p>
              </w:tc>
              <w:tc>
                <w:tcPr>
                  <w:tcW w:w="920" w:type="dxa"/>
                  <w:tcBorders>
                    <w:top w:val="nil"/>
                    <w:left w:val="nil"/>
                    <w:bottom w:val="single" w:sz="8" w:space="0" w:color="FFFFFF"/>
                    <w:right w:val="single" w:sz="8" w:space="0" w:color="FFFFFF"/>
                  </w:tcBorders>
                  <w:shd w:val="clear" w:color="000000" w:fill="FCD5B4"/>
                  <w:noWrap/>
                  <w:vAlign w:val="center"/>
                  <w:hideMark/>
                </w:tcPr>
                <w:p w14:paraId="36488BB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FF0000"/>
                      <w:kern w:val="0"/>
                      <w:szCs w:val="21"/>
                    </w:rPr>
                    <w:t xml:space="preserve">-0.5 </w:t>
                  </w:r>
                </w:p>
              </w:tc>
            </w:tr>
            <w:tr w:rsidR="009C2ACE" w:rsidRPr="009C2ACE" w14:paraId="4A225EF2" w14:textId="77777777" w:rsidTr="009C2ACE">
              <w:trPr>
                <w:trHeight w:val="150"/>
              </w:trPr>
              <w:tc>
                <w:tcPr>
                  <w:tcW w:w="1359" w:type="dxa"/>
                  <w:tcBorders>
                    <w:top w:val="nil"/>
                    <w:left w:val="nil"/>
                    <w:bottom w:val="nil"/>
                    <w:right w:val="nil"/>
                  </w:tcBorders>
                  <w:shd w:val="clear" w:color="auto" w:fill="auto"/>
                  <w:noWrap/>
                  <w:vAlign w:val="center"/>
                  <w:hideMark/>
                </w:tcPr>
                <w:p w14:paraId="567EC347" w14:textId="77777777" w:rsidR="009C2ACE" w:rsidRPr="009C2ACE" w:rsidRDefault="009C2ACE" w:rsidP="009C2ACE">
                  <w:pPr>
                    <w:widowControl/>
                    <w:jc w:val="center"/>
                    <w:rPr>
                      <w:rFonts w:eastAsia="等线" w:cs="Calibri"/>
                      <w:color w:val="000000"/>
                      <w:kern w:val="0"/>
                      <w:szCs w:val="21"/>
                    </w:rPr>
                  </w:pPr>
                </w:p>
              </w:tc>
              <w:tc>
                <w:tcPr>
                  <w:tcW w:w="919" w:type="dxa"/>
                  <w:tcBorders>
                    <w:top w:val="nil"/>
                    <w:left w:val="nil"/>
                    <w:bottom w:val="nil"/>
                    <w:right w:val="nil"/>
                  </w:tcBorders>
                  <w:shd w:val="clear" w:color="auto" w:fill="auto"/>
                  <w:noWrap/>
                  <w:vAlign w:val="center"/>
                  <w:hideMark/>
                </w:tcPr>
                <w:p w14:paraId="5816627E"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6DCD6498"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B991FD7"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C67686D" w14:textId="77777777" w:rsidR="009C2ACE" w:rsidRPr="009C2ACE" w:rsidRDefault="009C2ACE" w:rsidP="009C2ACE">
                  <w:pPr>
                    <w:widowControl/>
                    <w:jc w:val="center"/>
                    <w:rPr>
                      <w:rFonts w:ascii="Times New Roman" w:eastAsia="Times New Roman" w:hAnsi="Times New Roman"/>
                      <w:kern w:val="0"/>
                      <w:sz w:val="20"/>
                      <w:szCs w:val="20"/>
                    </w:rPr>
                  </w:pPr>
                </w:p>
              </w:tc>
              <w:tc>
                <w:tcPr>
                  <w:tcW w:w="1156" w:type="dxa"/>
                  <w:tcBorders>
                    <w:top w:val="nil"/>
                    <w:left w:val="nil"/>
                    <w:bottom w:val="nil"/>
                    <w:right w:val="nil"/>
                  </w:tcBorders>
                  <w:shd w:val="clear" w:color="auto" w:fill="auto"/>
                  <w:noWrap/>
                  <w:vAlign w:val="center"/>
                  <w:hideMark/>
                </w:tcPr>
                <w:p w14:paraId="661DF809"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6C15454"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61CCD2EF"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9C5126A" w14:textId="77777777" w:rsidR="009C2ACE" w:rsidRPr="009C2ACE" w:rsidRDefault="009C2ACE" w:rsidP="009C2ACE">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68601C16" w14:textId="77777777" w:rsidR="009C2ACE" w:rsidRPr="009C2ACE" w:rsidRDefault="009C2ACE" w:rsidP="009C2ACE">
                  <w:pPr>
                    <w:widowControl/>
                    <w:jc w:val="center"/>
                    <w:rPr>
                      <w:rFonts w:ascii="Times New Roman" w:eastAsia="Times New Roman" w:hAnsi="Times New Roman"/>
                      <w:kern w:val="0"/>
                      <w:sz w:val="20"/>
                      <w:szCs w:val="20"/>
                    </w:rPr>
                  </w:pPr>
                </w:p>
              </w:tc>
            </w:tr>
            <w:tr w:rsidR="009C2ACE" w:rsidRPr="009C2ACE" w14:paraId="280BE953" w14:textId="77777777" w:rsidTr="009C2ACE">
              <w:trPr>
                <w:trHeight w:val="290"/>
              </w:trPr>
              <w:tc>
                <w:tcPr>
                  <w:tcW w:w="1359" w:type="dxa"/>
                  <w:tcBorders>
                    <w:top w:val="nil"/>
                    <w:left w:val="nil"/>
                    <w:bottom w:val="single" w:sz="12" w:space="0" w:color="FFFFFF"/>
                    <w:right w:val="single" w:sz="8" w:space="0" w:color="FFFFFF"/>
                  </w:tcBorders>
                  <w:shd w:val="clear" w:color="000000" w:fill="F79646"/>
                  <w:noWrap/>
                  <w:vAlign w:val="center"/>
                  <w:hideMark/>
                </w:tcPr>
                <w:p w14:paraId="23A1336C"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收益率分位</w:t>
                  </w:r>
                </w:p>
              </w:tc>
              <w:tc>
                <w:tcPr>
                  <w:tcW w:w="919" w:type="dxa"/>
                  <w:tcBorders>
                    <w:top w:val="nil"/>
                    <w:left w:val="nil"/>
                    <w:bottom w:val="single" w:sz="12" w:space="0" w:color="FFFFFF"/>
                    <w:right w:val="single" w:sz="8" w:space="0" w:color="FFFFFF"/>
                  </w:tcBorders>
                  <w:shd w:val="clear" w:color="000000" w:fill="F79646"/>
                  <w:noWrap/>
                  <w:vAlign w:val="center"/>
                  <w:hideMark/>
                </w:tcPr>
                <w:p w14:paraId="7A3E70FA"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881103F"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A590A3F"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4EABFB1"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1156" w:type="dxa"/>
                  <w:tcBorders>
                    <w:top w:val="nil"/>
                    <w:left w:val="nil"/>
                    <w:bottom w:val="single" w:sz="12" w:space="0" w:color="FFFFFF"/>
                    <w:right w:val="single" w:sz="8" w:space="0" w:color="FFFFFF"/>
                  </w:tcBorders>
                  <w:shd w:val="clear" w:color="000000" w:fill="F79646"/>
                  <w:noWrap/>
                  <w:vAlign w:val="center"/>
                  <w:hideMark/>
                </w:tcPr>
                <w:p w14:paraId="1CC8DAF8"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6085249F"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EDAE15E"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5E04CBC8"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90AA293" w14:textId="77777777" w:rsidR="009C2ACE" w:rsidRPr="009C2ACE" w:rsidRDefault="009C2ACE" w:rsidP="009C2ACE">
                  <w:pPr>
                    <w:widowControl/>
                    <w:jc w:val="center"/>
                    <w:rPr>
                      <w:rFonts w:ascii="楷体" w:eastAsia="楷体" w:hAnsi="楷体" w:cs="宋体"/>
                      <w:b/>
                      <w:bCs/>
                      <w:color w:val="FFFFFF"/>
                      <w:kern w:val="0"/>
                      <w:sz w:val="20"/>
                      <w:szCs w:val="20"/>
                    </w:rPr>
                  </w:pPr>
                  <w:r w:rsidRPr="009C2ACE">
                    <w:rPr>
                      <w:rFonts w:ascii="楷体" w:eastAsia="楷体" w:hAnsi="楷体" w:cs="宋体" w:hint="eastAsia"/>
                      <w:b/>
                      <w:bCs/>
                      <w:color w:val="FFFFFF"/>
                      <w:kern w:val="0"/>
                      <w:sz w:val="20"/>
                      <w:szCs w:val="20"/>
                    </w:rPr>
                    <w:t>AA-</w:t>
                  </w:r>
                </w:p>
              </w:tc>
            </w:tr>
            <w:tr w:rsidR="009C2ACE" w:rsidRPr="009C2ACE" w14:paraId="68E3350A" w14:textId="77777777" w:rsidTr="009C2ACE">
              <w:trPr>
                <w:trHeight w:val="300"/>
              </w:trPr>
              <w:tc>
                <w:tcPr>
                  <w:tcW w:w="1359" w:type="dxa"/>
                  <w:tcBorders>
                    <w:top w:val="nil"/>
                    <w:left w:val="nil"/>
                    <w:bottom w:val="single" w:sz="8" w:space="0" w:color="FFFFFF"/>
                    <w:right w:val="single" w:sz="8" w:space="0" w:color="FFFFFF"/>
                  </w:tcBorders>
                  <w:shd w:val="clear" w:color="000000" w:fill="FCD5B4"/>
                  <w:noWrap/>
                  <w:vAlign w:val="center"/>
                  <w:hideMark/>
                </w:tcPr>
                <w:p w14:paraId="6C02DBCF"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44B7790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34%</w:t>
                  </w:r>
                </w:p>
              </w:tc>
              <w:tc>
                <w:tcPr>
                  <w:tcW w:w="920" w:type="dxa"/>
                  <w:tcBorders>
                    <w:top w:val="nil"/>
                    <w:left w:val="nil"/>
                    <w:bottom w:val="single" w:sz="8" w:space="0" w:color="FFFFFF"/>
                    <w:right w:val="single" w:sz="8" w:space="0" w:color="FFFFFF"/>
                  </w:tcBorders>
                  <w:shd w:val="clear" w:color="000000" w:fill="FCD5B4"/>
                  <w:noWrap/>
                  <w:vAlign w:val="center"/>
                  <w:hideMark/>
                </w:tcPr>
                <w:p w14:paraId="4DABD47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35%</w:t>
                  </w:r>
                </w:p>
              </w:tc>
              <w:tc>
                <w:tcPr>
                  <w:tcW w:w="920" w:type="dxa"/>
                  <w:tcBorders>
                    <w:top w:val="nil"/>
                    <w:left w:val="nil"/>
                    <w:bottom w:val="single" w:sz="8" w:space="0" w:color="FFFFFF"/>
                    <w:right w:val="single" w:sz="8" w:space="0" w:color="FFFFFF"/>
                  </w:tcBorders>
                  <w:shd w:val="clear" w:color="000000" w:fill="FCD5B4"/>
                  <w:noWrap/>
                  <w:vAlign w:val="center"/>
                  <w:hideMark/>
                </w:tcPr>
                <w:p w14:paraId="5401E26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38%</w:t>
                  </w:r>
                </w:p>
              </w:tc>
              <w:tc>
                <w:tcPr>
                  <w:tcW w:w="920" w:type="dxa"/>
                  <w:tcBorders>
                    <w:top w:val="nil"/>
                    <w:left w:val="nil"/>
                    <w:bottom w:val="single" w:sz="8" w:space="0" w:color="FFFFFF"/>
                    <w:right w:val="single" w:sz="8" w:space="0" w:color="FFFFFF"/>
                  </w:tcBorders>
                  <w:shd w:val="clear" w:color="000000" w:fill="FCD5B4"/>
                  <w:noWrap/>
                  <w:vAlign w:val="center"/>
                  <w:hideMark/>
                </w:tcPr>
                <w:p w14:paraId="6757136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69%</w:t>
                  </w:r>
                </w:p>
              </w:tc>
              <w:tc>
                <w:tcPr>
                  <w:tcW w:w="1156" w:type="dxa"/>
                  <w:tcBorders>
                    <w:top w:val="nil"/>
                    <w:left w:val="nil"/>
                    <w:bottom w:val="single" w:sz="8" w:space="0" w:color="FFFFFF"/>
                    <w:right w:val="single" w:sz="8" w:space="0" w:color="FFFFFF"/>
                  </w:tcBorders>
                  <w:shd w:val="clear" w:color="000000" w:fill="FCD5B4"/>
                  <w:noWrap/>
                  <w:vAlign w:val="center"/>
                  <w:hideMark/>
                </w:tcPr>
                <w:p w14:paraId="128F7683"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24C2464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4C0DC3B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13%</w:t>
                  </w:r>
                </w:p>
              </w:tc>
              <w:tc>
                <w:tcPr>
                  <w:tcW w:w="920" w:type="dxa"/>
                  <w:tcBorders>
                    <w:top w:val="nil"/>
                    <w:left w:val="nil"/>
                    <w:bottom w:val="single" w:sz="8" w:space="0" w:color="FFFFFF"/>
                    <w:right w:val="single" w:sz="8" w:space="0" w:color="FFFFFF"/>
                  </w:tcBorders>
                  <w:shd w:val="clear" w:color="000000" w:fill="FCD5B4"/>
                  <w:noWrap/>
                  <w:vAlign w:val="center"/>
                  <w:hideMark/>
                </w:tcPr>
                <w:p w14:paraId="471B163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FC7CE"/>
                  <w:noWrap/>
                  <w:vAlign w:val="center"/>
                  <w:hideMark/>
                </w:tcPr>
                <w:p w14:paraId="7530B6D6" w14:textId="77777777" w:rsidR="009C2ACE" w:rsidRPr="009C2ACE" w:rsidRDefault="009C2ACE" w:rsidP="009C2ACE">
                  <w:pPr>
                    <w:widowControl/>
                    <w:jc w:val="center"/>
                    <w:rPr>
                      <w:rFonts w:eastAsia="等线" w:cs="Calibri"/>
                      <w:color w:val="9C0006"/>
                      <w:kern w:val="0"/>
                      <w:szCs w:val="21"/>
                    </w:rPr>
                  </w:pPr>
                  <w:r w:rsidRPr="009C2ACE">
                    <w:rPr>
                      <w:rFonts w:eastAsia="等线" w:cs="Calibri"/>
                      <w:color w:val="9C0006"/>
                      <w:kern w:val="0"/>
                      <w:szCs w:val="21"/>
                    </w:rPr>
                    <w:t>83%</w:t>
                  </w:r>
                </w:p>
              </w:tc>
            </w:tr>
            <w:tr w:rsidR="009C2ACE" w:rsidRPr="009C2ACE" w14:paraId="16EC5582"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6F769FDD"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34DFDC5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33%</w:t>
                  </w:r>
                </w:p>
              </w:tc>
              <w:tc>
                <w:tcPr>
                  <w:tcW w:w="920" w:type="dxa"/>
                  <w:tcBorders>
                    <w:top w:val="nil"/>
                    <w:left w:val="nil"/>
                    <w:bottom w:val="single" w:sz="8" w:space="0" w:color="FFFFFF"/>
                    <w:right w:val="single" w:sz="8" w:space="0" w:color="FFFFFF"/>
                  </w:tcBorders>
                  <w:shd w:val="clear" w:color="000000" w:fill="FDE9D9"/>
                  <w:noWrap/>
                  <w:vAlign w:val="center"/>
                  <w:hideMark/>
                </w:tcPr>
                <w:p w14:paraId="0B13F32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32%</w:t>
                  </w:r>
                </w:p>
              </w:tc>
              <w:tc>
                <w:tcPr>
                  <w:tcW w:w="920" w:type="dxa"/>
                  <w:tcBorders>
                    <w:top w:val="nil"/>
                    <w:left w:val="nil"/>
                    <w:bottom w:val="single" w:sz="8" w:space="0" w:color="FFFFFF"/>
                    <w:right w:val="single" w:sz="8" w:space="0" w:color="FFFFFF"/>
                  </w:tcBorders>
                  <w:shd w:val="clear" w:color="000000" w:fill="FDE9D9"/>
                  <w:noWrap/>
                  <w:vAlign w:val="center"/>
                  <w:hideMark/>
                </w:tcPr>
                <w:p w14:paraId="1764164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37%</w:t>
                  </w:r>
                </w:p>
              </w:tc>
              <w:tc>
                <w:tcPr>
                  <w:tcW w:w="920" w:type="dxa"/>
                  <w:tcBorders>
                    <w:top w:val="nil"/>
                    <w:left w:val="nil"/>
                    <w:bottom w:val="single" w:sz="8" w:space="0" w:color="FFFFFF"/>
                    <w:right w:val="single" w:sz="8" w:space="0" w:color="FFFFFF"/>
                  </w:tcBorders>
                  <w:shd w:val="clear" w:color="000000" w:fill="FDE9D9"/>
                  <w:noWrap/>
                  <w:vAlign w:val="center"/>
                  <w:hideMark/>
                </w:tcPr>
                <w:p w14:paraId="75B880D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72%</w:t>
                  </w:r>
                </w:p>
              </w:tc>
              <w:tc>
                <w:tcPr>
                  <w:tcW w:w="1156" w:type="dxa"/>
                  <w:tcBorders>
                    <w:top w:val="nil"/>
                    <w:left w:val="nil"/>
                    <w:bottom w:val="single" w:sz="8" w:space="0" w:color="FFFFFF"/>
                    <w:right w:val="single" w:sz="8" w:space="0" w:color="FFFFFF"/>
                  </w:tcBorders>
                  <w:shd w:val="clear" w:color="000000" w:fill="FDE9D9"/>
                  <w:noWrap/>
                  <w:vAlign w:val="center"/>
                  <w:hideMark/>
                </w:tcPr>
                <w:p w14:paraId="423344B2"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3DF27E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DE9D9"/>
                  <w:noWrap/>
                  <w:vAlign w:val="center"/>
                  <w:hideMark/>
                </w:tcPr>
                <w:p w14:paraId="630B589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20%</w:t>
                  </w:r>
                </w:p>
              </w:tc>
              <w:tc>
                <w:tcPr>
                  <w:tcW w:w="920" w:type="dxa"/>
                  <w:tcBorders>
                    <w:top w:val="nil"/>
                    <w:left w:val="nil"/>
                    <w:bottom w:val="single" w:sz="8" w:space="0" w:color="FFFFFF"/>
                    <w:right w:val="single" w:sz="8" w:space="0" w:color="FFFFFF"/>
                  </w:tcBorders>
                  <w:shd w:val="clear" w:color="000000" w:fill="FDE9D9"/>
                  <w:noWrap/>
                  <w:vAlign w:val="center"/>
                  <w:hideMark/>
                </w:tcPr>
                <w:p w14:paraId="4553244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28%</w:t>
                  </w:r>
                </w:p>
              </w:tc>
              <w:tc>
                <w:tcPr>
                  <w:tcW w:w="920" w:type="dxa"/>
                  <w:tcBorders>
                    <w:top w:val="nil"/>
                    <w:left w:val="nil"/>
                    <w:bottom w:val="single" w:sz="8" w:space="0" w:color="FFFFFF"/>
                    <w:right w:val="single" w:sz="8" w:space="0" w:color="FFFFFF"/>
                  </w:tcBorders>
                  <w:shd w:val="clear" w:color="000000" w:fill="FFC7CE"/>
                  <w:noWrap/>
                  <w:vAlign w:val="center"/>
                  <w:hideMark/>
                </w:tcPr>
                <w:p w14:paraId="21A375D6" w14:textId="77777777" w:rsidR="009C2ACE" w:rsidRPr="009C2ACE" w:rsidRDefault="009C2ACE" w:rsidP="009C2ACE">
                  <w:pPr>
                    <w:widowControl/>
                    <w:jc w:val="center"/>
                    <w:rPr>
                      <w:rFonts w:eastAsia="等线" w:cs="Calibri"/>
                      <w:color w:val="9C0006"/>
                      <w:kern w:val="0"/>
                      <w:szCs w:val="21"/>
                    </w:rPr>
                  </w:pPr>
                  <w:r w:rsidRPr="009C2ACE">
                    <w:rPr>
                      <w:rFonts w:eastAsia="等线" w:cs="Calibri"/>
                      <w:color w:val="9C0006"/>
                      <w:kern w:val="0"/>
                      <w:szCs w:val="21"/>
                    </w:rPr>
                    <w:t>87%</w:t>
                  </w:r>
                </w:p>
              </w:tc>
            </w:tr>
            <w:tr w:rsidR="009C2ACE" w:rsidRPr="009C2ACE" w14:paraId="7D116AD9"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039909A3"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2113688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24%</w:t>
                  </w:r>
                </w:p>
              </w:tc>
              <w:tc>
                <w:tcPr>
                  <w:tcW w:w="920" w:type="dxa"/>
                  <w:tcBorders>
                    <w:top w:val="nil"/>
                    <w:left w:val="nil"/>
                    <w:bottom w:val="single" w:sz="8" w:space="0" w:color="FFFFFF"/>
                    <w:right w:val="single" w:sz="8" w:space="0" w:color="FFFFFF"/>
                  </w:tcBorders>
                  <w:shd w:val="clear" w:color="000000" w:fill="FCD5B4"/>
                  <w:noWrap/>
                  <w:vAlign w:val="center"/>
                  <w:hideMark/>
                </w:tcPr>
                <w:p w14:paraId="009E441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CD5B4"/>
                  <w:noWrap/>
                  <w:vAlign w:val="center"/>
                  <w:hideMark/>
                </w:tcPr>
                <w:p w14:paraId="52A5C9B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26%</w:t>
                  </w:r>
                </w:p>
              </w:tc>
              <w:tc>
                <w:tcPr>
                  <w:tcW w:w="920" w:type="dxa"/>
                  <w:tcBorders>
                    <w:top w:val="nil"/>
                    <w:left w:val="nil"/>
                    <w:bottom w:val="single" w:sz="8" w:space="0" w:color="FFFFFF"/>
                    <w:right w:val="single" w:sz="8" w:space="0" w:color="FFFFFF"/>
                  </w:tcBorders>
                  <w:shd w:val="clear" w:color="000000" w:fill="FCD5B4"/>
                  <w:noWrap/>
                  <w:vAlign w:val="center"/>
                  <w:hideMark/>
                </w:tcPr>
                <w:p w14:paraId="3D3767C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64%</w:t>
                  </w:r>
                </w:p>
              </w:tc>
              <w:tc>
                <w:tcPr>
                  <w:tcW w:w="1156" w:type="dxa"/>
                  <w:tcBorders>
                    <w:top w:val="nil"/>
                    <w:left w:val="nil"/>
                    <w:bottom w:val="single" w:sz="8" w:space="0" w:color="FFFFFF"/>
                    <w:right w:val="single" w:sz="8" w:space="0" w:color="FFFFFF"/>
                  </w:tcBorders>
                  <w:shd w:val="clear" w:color="000000" w:fill="FCD5B4"/>
                  <w:noWrap/>
                  <w:vAlign w:val="center"/>
                  <w:hideMark/>
                </w:tcPr>
                <w:p w14:paraId="11948EB1"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B32D08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377695A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5B58BE06"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13%</w:t>
                  </w:r>
                </w:p>
              </w:tc>
              <w:tc>
                <w:tcPr>
                  <w:tcW w:w="920" w:type="dxa"/>
                  <w:tcBorders>
                    <w:top w:val="nil"/>
                    <w:left w:val="nil"/>
                    <w:bottom w:val="single" w:sz="8" w:space="0" w:color="FFFFFF"/>
                    <w:right w:val="single" w:sz="8" w:space="0" w:color="FFFFFF"/>
                  </w:tcBorders>
                  <w:shd w:val="clear" w:color="000000" w:fill="FCD5B4"/>
                  <w:noWrap/>
                  <w:vAlign w:val="center"/>
                  <w:hideMark/>
                </w:tcPr>
                <w:p w14:paraId="767EE48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67%</w:t>
                  </w:r>
                </w:p>
              </w:tc>
            </w:tr>
            <w:tr w:rsidR="009C2ACE" w:rsidRPr="009C2ACE" w14:paraId="653A7FD9"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203D1160"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61D0642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33%</w:t>
                  </w:r>
                </w:p>
              </w:tc>
              <w:tc>
                <w:tcPr>
                  <w:tcW w:w="920" w:type="dxa"/>
                  <w:tcBorders>
                    <w:top w:val="nil"/>
                    <w:left w:val="nil"/>
                    <w:bottom w:val="single" w:sz="8" w:space="0" w:color="FFFFFF"/>
                    <w:right w:val="single" w:sz="8" w:space="0" w:color="FFFFFF"/>
                  </w:tcBorders>
                  <w:shd w:val="clear" w:color="000000" w:fill="FDE9D9"/>
                  <w:noWrap/>
                  <w:vAlign w:val="center"/>
                  <w:hideMark/>
                </w:tcPr>
                <w:p w14:paraId="129FACB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33%</w:t>
                  </w:r>
                </w:p>
              </w:tc>
              <w:tc>
                <w:tcPr>
                  <w:tcW w:w="920" w:type="dxa"/>
                  <w:tcBorders>
                    <w:top w:val="nil"/>
                    <w:left w:val="nil"/>
                    <w:bottom w:val="single" w:sz="8" w:space="0" w:color="FFFFFF"/>
                    <w:right w:val="single" w:sz="8" w:space="0" w:color="FFFFFF"/>
                  </w:tcBorders>
                  <w:shd w:val="clear" w:color="000000" w:fill="FDE9D9"/>
                  <w:noWrap/>
                  <w:vAlign w:val="center"/>
                  <w:hideMark/>
                </w:tcPr>
                <w:p w14:paraId="12B20CA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34%</w:t>
                  </w:r>
                </w:p>
              </w:tc>
              <w:tc>
                <w:tcPr>
                  <w:tcW w:w="920" w:type="dxa"/>
                  <w:tcBorders>
                    <w:top w:val="nil"/>
                    <w:left w:val="nil"/>
                    <w:bottom w:val="single" w:sz="8" w:space="0" w:color="FFFFFF"/>
                    <w:right w:val="single" w:sz="8" w:space="0" w:color="FFFFFF"/>
                  </w:tcBorders>
                  <w:shd w:val="clear" w:color="000000" w:fill="FDE9D9"/>
                  <w:noWrap/>
                  <w:vAlign w:val="center"/>
                  <w:hideMark/>
                </w:tcPr>
                <w:p w14:paraId="539C152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69%</w:t>
                  </w:r>
                </w:p>
              </w:tc>
              <w:tc>
                <w:tcPr>
                  <w:tcW w:w="1156" w:type="dxa"/>
                  <w:tcBorders>
                    <w:top w:val="nil"/>
                    <w:left w:val="nil"/>
                    <w:bottom w:val="single" w:sz="8" w:space="0" w:color="FFFFFF"/>
                    <w:right w:val="single" w:sz="8" w:space="0" w:color="FFFFFF"/>
                  </w:tcBorders>
                  <w:shd w:val="clear" w:color="000000" w:fill="FDE9D9"/>
                  <w:noWrap/>
                  <w:vAlign w:val="center"/>
                  <w:hideMark/>
                </w:tcPr>
                <w:p w14:paraId="25E4FCCC"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5CC2E05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DE9D9"/>
                  <w:noWrap/>
                  <w:vAlign w:val="center"/>
                  <w:hideMark/>
                </w:tcPr>
                <w:p w14:paraId="3B257FB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DE9D9"/>
                  <w:noWrap/>
                  <w:vAlign w:val="center"/>
                  <w:hideMark/>
                </w:tcPr>
                <w:p w14:paraId="28A0561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25%</w:t>
                  </w:r>
                </w:p>
              </w:tc>
              <w:tc>
                <w:tcPr>
                  <w:tcW w:w="920" w:type="dxa"/>
                  <w:tcBorders>
                    <w:top w:val="nil"/>
                    <w:left w:val="nil"/>
                    <w:bottom w:val="single" w:sz="8" w:space="0" w:color="FFFFFF"/>
                    <w:right w:val="single" w:sz="8" w:space="0" w:color="FFFFFF"/>
                  </w:tcBorders>
                  <w:shd w:val="clear" w:color="000000" w:fill="FFC7CE"/>
                  <w:noWrap/>
                  <w:vAlign w:val="center"/>
                  <w:hideMark/>
                </w:tcPr>
                <w:p w14:paraId="2A143B7A" w14:textId="77777777" w:rsidR="009C2ACE" w:rsidRPr="009C2ACE" w:rsidRDefault="009C2ACE" w:rsidP="009C2ACE">
                  <w:pPr>
                    <w:widowControl/>
                    <w:jc w:val="center"/>
                    <w:rPr>
                      <w:rFonts w:eastAsia="等线" w:cs="Calibri"/>
                      <w:color w:val="9C0006"/>
                      <w:kern w:val="0"/>
                      <w:szCs w:val="21"/>
                    </w:rPr>
                  </w:pPr>
                  <w:r w:rsidRPr="009C2ACE">
                    <w:rPr>
                      <w:rFonts w:eastAsia="等线" w:cs="Calibri"/>
                      <w:color w:val="9C0006"/>
                      <w:kern w:val="0"/>
                      <w:szCs w:val="21"/>
                    </w:rPr>
                    <w:t>84%</w:t>
                  </w:r>
                </w:p>
              </w:tc>
            </w:tr>
            <w:tr w:rsidR="009C2ACE" w:rsidRPr="009C2ACE" w14:paraId="119F6BE6"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1047A172"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27093E5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CD5B4"/>
                  <w:noWrap/>
                  <w:vAlign w:val="center"/>
                  <w:hideMark/>
                </w:tcPr>
                <w:p w14:paraId="28A8BA9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6C09F9E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55C6149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52%</w:t>
                  </w:r>
                </w:p>
              </w:tc>
              <w:tc>
                <w:tcPr>
                  <w:tcW w:w="1156" w:type="dxa"/>
                  <w:tcBorders>
                    <w:top w:val="nil"/>
                    <w:left w:val="nil"/>
                    <w:bottom w:val="single" w:sz="8" w:space="0" w:color="FFFFFF"/>
                    <w:right w:val="single" w:sz="8" w:space="0" w:color="FFFFFF"/>
                  </w:tcBorders>
                  <w:shd w:val="clear" w:color="000000" w:fill="FCD5B4"/>
                  <w:noWrap/>
                  <w:vAlign w:val="center"/>
                  <w:hideMark/>
                </w:tcPr>
                <w:p w14:paraId="2B1021A5"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4E7936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630EB5C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46615C14"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2016469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55%</w:t>
                  </w:r>
                </w:p>
              </w:tc>
            </w:tr>
            <w:tr w:rsidR="009C2ACE" w:rsidRPr="009C2ACE" w14:paraId="4F6D7D9D"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2BFB03E3"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57D0F12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17%</w:t>
                  </w:r>
                </w:p>
              </w:tc>
              <w:tc>
                <w:tcPr>
                  <w:tcW w:w="920" w:type="dxa"/>
                  <w:tcBorders>
                    <w:top w:val="nil"/>
                    <w:left w:val="nil"/>
                    <w:bottom w:val="single" w:sz="8" w:space="0" w:color="FFFFFF"/>
                    <w:right w:val="single" w:sz="8" w:space="0" w:color="FFFFFF"/>
                  </w:tcBorders>
                  <w:shd w:val="clear" w:color="000000" w:fill="FDE9D9"/>
                  <w:noWrap/>
                  <w:vAlign w:val="center"/>
                  <w:hideMark/>
                </w:tcPr>
                <w:p w14:paraId="05C16A2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6810FD2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6ECBBAF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42%</w:t>
                  </w:r>
                </w:p>
              </w:tc>
              <w:tc>
                <w:tcPr>
                  <w:tcW w:w="1156" w:type="dxa"/>
                  <w:tcBorders>
                    <w:top w:val="nil"/>
                    <w:left w:val="nil"/>
                    <w:bottom w:val="single" w:sz="8" w:space="0" w:color="FFFFFF"/>
                    <w:right w:val="single" w:sz="8" w:space="0" w:color="FFFFFF"/>
                  </w:tcBorders>
                  <w:shd w:val="clear" w:color="000000" w:fill="FDE9D9"/>
                  <w:noWrap/>
                  <w:vAlign w:val="center"/>
                  <w:hideMark/>
                </w:tcPr>
                <w:p w14:paraId="18D0B016" w14:textId="77777777" w:rsidR="009C2ACE" w:rsidRPr="009C2ACE" w:rsidRDefault="009C2ACE" w:rsidP="009C2ACE">
                  <w:pPr>
                    <w:widowControl/>
                    <w:jc w:val="center"/>
                    <w:rPr>
                      <w:rFonts w:ascii="楷体" w:eastAsia="楷体" w:hAnsi="楷体" w:cs="宋体"/>
                      <w:color w:val="000000"/>
                      <w:kern w:val="0"/>
                      <w:sz w:val="20"/>
                      <w:szCs w:val="20"/>
                    </w:rPr>
                  </w:pPr>
                  <w:r w:rsidRPr="009C2ACE">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8FFF65D"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2E9B145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w:t>
                  </w:r>
                </w:p>
              </w:tc>
              <w:tc>
                <w:tcPr>
                  <w:tcW w:w="920" w:type="dxa"/>
                  <w:tcBorders>
                    <w:top w:val="nil"/>
                    <w:left w:val="nil"/>
                    <w:bottom w:val="single" w:sz="8" w:space="0" w:color="FFFFFF"/>
                    <w:right w:val="single" w:sz="8" w:space="0" w:color="FFFFFF"/>
                  </w:tcBorders>
                  <w:shd w:val="clear" w:color="000000" w:fill="FDE9D9"/>
                  <w:noWrap/>
                  <w:vAlign w:val="center"/>
                  <w:hideMark/>
                </w:tcPr>
                <w:p w14:paraId="0E69380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75977B9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40%</w:t>
                  </w:r>
                </w:p>
              </w:tc>
            </w:tr>
            <w:tr w:rsidR="009C2ACE" w:rsidRPr="009C2ACE" w14:paraId="1C14EC5F" w14:textId="77777777" w:rsidTr="009C2ACE">
              <w:trPr>
                <w:trHeight w:val="290"/>
              </w:trPr>
              <w:tc>
                <w:tcPr>
                  <w:tcW w:w="1359" w:type="dxa"/>
                  <w:tcBorders>
                    <w:top w:val="nil"/>
                    <w:left w:val="nil"/>
                    <w:bottom w:val="single" w:sz="8" w:space="0" w:color="FFFFFF"/>
                    <w:right w:val="single" w:sz="8" w:space="0" w:color="FFFFFF"/>
                  </w:tcBorders>
                  <w:shd w:val="clear" w:color="000000" w:fill="FCD5B4"/>
                  <w:noWrap/>
                  <w:vAlign w:val="center"/>
                  <w:hideMark/>
                </w:tcPr>
                <w:p w14:paraId="3678D291"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5432D90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29%</w:t>
                  </w:r>
                </w:p>
              </w:tc>
              <w:tc>
                <w:tcPr>
                  <w:tcW w:w="920" w:type="dxa"/>
                  <w:tcBorders>
                    <w:top w:val="nil"/>
                    <w:left w:val="nil"/>
                    <w:bottom w:val="single" w:sz="8" w:space="0" w:color="FFFFFF"/>
                    <w:right w:val="single" w:sz="8" w:space="0" w:color="FFFFFF"/>
                  </w:tcBorders>
                  <w:shd w:val="clear" w:color="000000" w:fill="FCD5B4"/>
                  <w:noWrap/>
                  <w:vAlign w:val="center"/>
                  <w:hideMark/>
                </w:tcPr>
                <w:p w14:paraId="3DBD6911"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27%</w:t>
                  </w:r>
                </w:p>
              </w:tc>
              <w:tc>
                <w:tcPr>
                  <w:tcW w:w="920" w:type="dxa"/>
                  <w:tcBorders>
                    <w:top w:val="nil"/>
                    <w:left w:val="nil"/>
                    <w:bottom w:val="single" w:sz="8" w:space="0" w:color="FFFFFF"/>
                    <w:right w:val="single" w:sz="8" w:space="0" w:color="FFFFFF"/>
                  </w:tcBorders>
                  <w:shd w:val="clear" w:color="000000" w:fill="FCD5B4"/>
                  <w:noWrap/>
                  <w:vAlign w:val="center"/>
                  <w:hideMark/>
                </w:tcPr>
                <w:p w14:paraId="2674847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24%</w:t>
                  </w:r>
                </w:p>
              </w:tc>
              <w:tc>
                <w:tcPr>
                  <w:tcW w:w="920" w:type="dxa"/>
                  <w:tcBorders>
                    <w:top w:val="nil"/>
                    <w:left w:val="nil"/>
                    <w:bottom w:val="single" w:sz="8" w:space="0" w:color="FFFFFF"/>
                    <w:right w:val="single" w:sz="8" w:space="0" w:color="FFFFFF"/>
                  </w:tcBorders>
                  <w:shd w:val="clear" w:color="000000" w:fill="FCD5B4"/>
                  <w:noWrap/>
                  <w:vAlign w:val="center"/>
                  <w:hideMark/>
                </w:tcPr>
                <w:p w14:paraId="5F0BD560"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71%</w:t>
                  </w:r>
                </w:p>
              </w:tc>
              <w:tc>
                <w:tcPr>
                  <w:tcW w:w="1156" w:type="dxa"/>
                  <w:tcBorders>
                    <w:top w:val="nil"/>
                    <w:left w:val="nil"/>
                    <w:bottom w:val="single" w:sz="8" w:space="0" w:color="FFFFFF"/>
                    <w:right w:val="single" w:sz="8" w:space="0" w:color="FFFFFF"/>
                  </w:tcBorders>
                  <w:shd w:val="clear" w:color="000000" w:fill="FCD5B4"/>
                  <w:noWrap/>
                  <w:vAlign w:val="center"/>
                  <w:hideMark/>
                </w:tcPr>
                <w:p w14:paraId="6405AA86"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86BD10A"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6B3F37DC"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24%</w:t>
                  </w:r>
                </w:p>
              </w:tc>
              <w:tc>
                <w:tcPr>
                  <w:tcW w:w="920" w:type="dxa"/>
                  <w:tcBorders>
                    <w:top w:val="nil"/>
                    <w:left w:val="nil"/>
                    <w:bottom w:val="single" w:sz="8" w:space="0" w:color="FFFFFF"/>
                    <w:right w:val="single" w:sz="8" w:space="0" w:color="FFFFFF"/>
                  </w:tcBorders>
                  <w:shd w:val="clear" w:color="000000" w:fill="FCD5B4"/>
                  <w:noWrap/>
                  <w:vAlign w:val="center"/>
                  <w:hideMark/>
                </w:tcPr>
                <w:p w14:paraId="734EDAD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FC7CE"/>
                  <w:noWrap/>
                  <w:vAlign w:val="center"/>
                  <w:hideMark/>
                </w:tcPr>
                <w:p w14:paraId="332E8E46" w14:textId="77777777" w:rsidR="009C2ACE" w:rsidRPr="009C2ACE" w:rsidRDefault="009C2ACE" w:rsidP="009C2ACE">
                  <w:pPr>
                    <w:widowControl/>
                    <w:jc w:val="center"/>
                    <w:rPr>
                      <w:rFonts w:eastAsia="等线" w:cs="Calibri"/>
                      <w:color w:val="9C0006"/>
                      <w:kern w:val="0"/>
                      <w:szCs w:val="21"/>
                    </w:rPr>
                  </w:pPr>
                  <w:r w:rsidRPr="009C2ACE">
                    <w:rPr>
                      <w:rFonts w:eastAsia="等线" w:cs="Calibri"/>
                      <w:color w:val="9C0006"/>
                      <w:kern w:val="0"/>
                      <w:szCs w:val="21"/>
                    </w:rPr>
                    <w:t>80%</w:t>
                  </w:r>
                </w:p>
              </w:tc>
            </w:tr>
            <w:tr w:rsidR="009C2ACE" w:rsidRPr="009C2ACE" w14:paraId="7BACA353" w14:textId="77777777" w:rsidTr="009C2ACE">
              <w:trPr>
                <w:trHeight w:val="290"/>
              </w:trPr>
              <w:tc>
                <w:tcPr>
                  <w:tcW w:w="1359" w:type="dxa"/>
                  <w:tcBorders>
                    <w:top w:val="nil"/>
                    <w:left w:val="nil"/>
                    <w:bottom w:val="single" w:sz="8" w:space="0" w:color="FFFFFF"/>
                    <w:right w:val="single" w:sz="8" w:space="0" w:color="FFFFFF"/>
                  </w:tcBorders>
                  <w:shd w:val="clear" w:color="000000" w:fill="FDE9D9"/>
                  <w:noWrap/>
                  <w:vAlign w:val="center"/>
                  <w:hideMark/>
                </w:tcPr>
                <w:p w14:paraId="69BCC34A"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099CD25E"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DE9D9"/>
                  <w:noWrap/>
                  <w:vAlign w:val="center"/>
                  <w:hideMark/>
                </w:tcPr>
                <w:p w14:paraId="603F038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26%</w:t>
                  </w:r>
                </w:p>
              </w:tc>
              <w:tc>
                <w:tcPr>
                  <w:tcW w:w="920" w:type="dxa"/>
                  <w:tcBorders>
                    <w:top w:val="nil"/>
                    <w:left w:val="nil"/>
                    <w:bottom w:val="single" w:sz="8" w:space="0" w:color="FFFFFF"/>
                    <w:right w:val="single" w:sz="8" w:space="0" w:color="FFFFFF"/>
                  </w:tcBorders>
                  <w:shd w:val="clear" w:color="000000" w:fill="FDE9D9"/>
                  <w:noWrap/>
                  <w:vAlign w:val="center"/>
                  <w:hideMark/>
                </w:tcPr>
                <w:p w14:paraId="6C76AE99"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26%</w:t>
                  </w:r>
                </w:p>
              </w:tc>
              <w:tc>
                <w:tcPr>
                  <w:tcW w:w="920" w:type="dxa"/>
                  <w:tcBorders>
                    <w:top w:val="nil"/>
                    <w:left w:val="nil"/>
                    <w:bottom w:val="single" w:sz="8" w:space="0" w:color="FFFFFF"/>
                    <w:right w:val="single" w:sz="8" w:space="0" w:color="FFFFFF"/>
                  </w:tcBorders>
                  <w:shd w:val="clear" w:color="000000" w:fill="FDE9D9"/>
                  <w:noWrap/>
                  <w:vAlign w:val="center"/>
                  <w:hideMark/>
                </w:tcPr>
                <w:p w14:paraId="2015270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78%</w:t>
                  </w:r>
                </w:p>
              </w:tc>
              <w:tc>
                <w:tcPr>
                  <w:tcW w:w="1156" w:type="dxa"/>
                  <w:tcBorders>
                    <w:top w:val="nil"/>
                    <w:left w:val="nil"/>
                    <w:bottom w:val="single" w:sz="8" w:space="0" w:color="FFFFFF"/>
                    <w:right w:val="single" w:sz="8" w:space="0" w:color="FFFFFF"/>
                  </w:tcBorders>
                  <w:shd w:val="clear" w:color="000000" w:fill="FDE9D9"/>
                  <w:noWrap/>
                  <w:vAlign w:val="center"/>
                  <w:hideMark/>
                </w:tcPr>
                <w:p w14:paraId="66864247"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47A993B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4F954307"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DE9D9"/>
                  <w:noWrap/>
                  <w:vAlign w:val="center"/>
                  <w:hideMark/>
                </w:tcPr>
                <w:p w14:paraId="2C39321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25%</w:t>
                  </w:r>
                </w:p>
              </w:tc>
              <w:tc>
                <w:tcPr>
                  <w:tcW w:w="920" w:type="dxa"/>
                  <w:tcBorders>
                    <w:top w:val="nil"/>
                    <w:left w:val="nil"/>
                    <w:bottom w:val="single" w:sz="8" w:space="0" w:color="FFFFFF"/>
                    <w:right w:val="single" w:sz="8" w:space="0" w:color="FFFFFF"/>
                  </w:tcBorders>
                  <w:shd w:val="clear" w:color="000000" w:fill="FFC7CE"/>
                  <w:noWrap/>
                  <w:vAlign w:val="center"/>
                  <w:hideMark/>
                </w:tcPr>
                <w:p w14:paraId="29429DCE" w14:textId="77777777" w:rsidR="009C2ACE" w:rsidRPr="009C2ACE" w:rsidRDefault="009C2ACE" w:rsidP="009C2ACE">
                  <w:pPr>
                    <w:widowControl/>
                    <w:jc w:val="center"/>
                    <w:rPr>
                      <w:rFonts w:eastAsia="等线" w:cs="Calibri"/>
                      <w:color w:val="9C0006"/>
                      <w:kern w:val="0"/>
                      <w:szCs w:val="21"/>
                    </w:rPr>
                  </w:pPr>
                  <w:r w:rsidRPr="009C2ACE">
                    <w:rPr>
                      <w:rFonts w:eastAsia="等线" w:cs="Calibri"/>
                      <w:color w:val="9C0006"/>
                      <w:kern w:val="0"/>
                      <w:szCs w:val="21"/>
                    </w:rPr>
                    <w:t>86%</w:t>
                  </w:r>
                </w:p>
              </w:tc>
            </w:tr>
            <w:tr w:rsidR="009C2ACE" w:rsidRPr="009C2ACE" w14:paraId="3756BF56" w14:textId="77777777" w:rsidTr="009C2ACE">
              <w:trPr>
                <w:trHeight w:val="290"/>
              </w:trPr>
              <w:tc>
                <w:tcPr>
                  <w:tcW w:w="1359" w:type="dxa"/>
                  <w:tcBorders>
                    <w:top w:val="nil"/>
                    <w:left w:val="nil"/>
                    <w:bottom w:val="nil"/>
                    <w:right w:val="nil"/>
                  </w:tcBorders>
                  <w:shd w:val="clear" w:color="000000" w:fill="FCD5B4"/>
                  <w:noWrap/>
                  <w:vAlign w:val="center"/>
                  <w:hideMark/>
                </w:tcPr>
                <w:p w14:paraId="2902AFE6"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6722D10F"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16%</w:t>
                  </w:r>
                </w:p>
              </w:tc>
              <w:tc>
                <w:tcPr>
                  <w:tcW w:w="920" w:type="dxa"/>
                  <w:tcBorders>
                    <w:top w:val="nil"/>
                    <w:left w:val="nil"/>
                    <w:bottom w:val="single" w:sz="8" w:space="0" w:color="FFFFFF"/>
                    <w:right w:val="single" w:sz="8" w:space="0" w:color="FFFFFF"/>
                  </w:tcBorders>
                  <w:shd w:val="clear" w:color="000000" w:fill="FCD5B4"/>
                  <w:noWrap/>
                  <w:vAlign w:val="center"/>
                  <w:hideMark/>
                </w:tcPr>
                <w:p w14:paraId="3DBB29BB"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CD5B4"/>
                  <w:noWrap/>
                  <w:vAlign w:val="center"/>
                  <w:hideMark/>
                </w:tcPr>
                <w:p w14:paraId="503CB96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CD5B4"/>
                  <w:noWrap/>
                  <w:vAlign w:val="center"/>
                  <w:hideMark/>
                </w:tcPr>
                <w:p w14:paraId="44A0C542"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71%</w:t>
                  </w:r>
                </w:p>
              </w:tc>
              <w:tc>
                <w:tcPr>
                  <w:tcW w:w="1156" w:type="dxa"/>
                  <w:tcBorders>
                    <w:top w:val="nil"/>
                    <w:left w:val="nil"/>
                    <w:bottom w:val="nil"/>
                    <w:right w:val="nil"/>
                  </w:tcBorders>
                  <w:shd w:val="clear" w:color="000000" w:fill="FCD5B4"/>
                  <w:noWrap/>
                  <w:vAlign w:val="center"/>
                  <w:hideMark/>
                </w:tcPr>
                <w:p w14:paraId="66BC5AF4" w14:textId="77777777" w:rsidR="009C2ACE" w:rsidRPr="009C2ACE" w:rsidRDefault="009C2ACE" w:rsidP="009C2ACE">
                  <w:pPr>
                    <w:widowControl/>
                    <w:jc w:val="center"/>
                    <w:rPr>
                      <w:rFonts w:ascii="楷体" w:eastAsia="楷体" w:hAnsi="楷体" w:cs="宋体"/>
                      <w:color w:val="000000"/>
                      <w:kern w:val="0"/>
                      <w:sz w:val="20"/>
                      <w:szCs w:val="20"/>
                    </w:rPr>
                  </w:pPr>
                  <w:proofErr w:type="gramStart"/>
                  <w:r w:rsidRPr="009C2ACE">
                    <w:rPr>
                      <w:rFonts w:ascii="楷体" w:eastAsia="楷体" w:hAnsi="楷体" w:cs="宋体" w:hint="eastAsia"/>
                      <w:color w:val="000000"/>
                      <w:kern w:val="0"/>
                      <w:sz w:val="20"/>
                      <w:szCs w:val="20"/>
                    </w:rPr>
                    <w:t>城投债</w:t>
                  </w:r>
                  <w:proofErr w:type="gramEnd"/>
                  <w:r w:rsidRPr="009C2ACE">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2FA24A5"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315CBE43"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17%</w:t>
                  </w:r>
                </w:p>
              </w:tc>
              <w:tc>
                <w:tcPr>
                  <w:tcW w:w="920" w:type="dxa"/>
                  <w:tcBorders>
                    <w:top w:val="nil"/>
                    <w:left w:val="nil"/>
                    <w:bottom w:val="single" w:sz="8" w:space="0" w:color="FFFFFF"/>
                    <w:right w:val="single" w:sz="8" w:space="0" w:color="FFFFFF"/>
                  </w:tcBorders>
                  <w:shd w:val="clear" w:color="000000" w:fill="FCD5B4"/>
                  <w:noWrap/>
                  <w:vAlign w:val="center"/>
                  <w:hideMark/>
                </w:tcPr>
                <w:p w14:paraId="4DFBCE88" w14:textId="77777777" w:rsidR="009C2ACE" w:rsidRPr="009C2ACE" w:rsidRDefault="009C2ACE" w:rsidP="009C2ACE">
                  <w:pPr>
                    <w:widowControl/>
                    <w:jc w:val="center"/>
                    <w:rPr>
                      <w:rFonts w:eastAsia="等线" w:cs="Calibri"/>
                      <w:color w:val="000000"/>
                      <w:kern w:val="0"/>
                      <w:szCs w:val="21"/>
                    </w:rPr>
                  </w:pPr>
                  <w:r w:rsidRPr="009C2ACE">
                    <w:rPr>
                      <w:rFonts w:eastAsia="等线" w:cs="Calibri"/>
                      <w:color w:val="000000"/>
                      <w:kern w:val="0"/>
                      <w:szCs w:val="21"/>
                    </w:rPr>
                    <w:t>16%</w:t>
                  </w:r>
                </w:p>
              </w:tc>
              <w:tc>
                <w:tcPr>
                  <w:tcW w:w="920" w:type="dxa"/>
                  <w:tcBorders>
                    <w:top w:val="nil"/>
                    <w:left w:val="nil"/>
                    <w:bottom w:val="single" w:sz="8" w:space="0" w:color="FFFFFF"/>
                    <w:right w:val="single" w:sz="8" w:space="0" w:color="FFFFFF"/>
                  </w:tcBorders>
                  <w:shd w:val="clear" w:color="000000" w:fill="FFC7CE"/>
                  <w:noWrap/>
                  <w:vAlign w:val="center"/>
                  <w:hideMark/>
                </w:tcPr>
                <w:p w14:paraId="502F081A" w14:textId="77777777" w:rsidR="009C2ACE" w:rsidRPr="009C2ACE" w:rsidRDefault="009C2ACE" w:rsidP="009C2ACE">
                  <w:pPr>
                    <w:widowControl/>
                    <w:jc w:val="center"/>
                    <w:rPr>
                      <w:rFonts w:eastAsia="等线" w:cs="Calibri"/>
                      <w:color w:val="9C0006"/>
                      <w:kern w:val="0"/>
                      <w:szCs w:val="21"/>
                    </w:rPr>
                  </w:pPr>
                  <w:r w:rsidRPr="009C2ACE">
                    <w:rPr>
                      <w:rFonts w:eastAsia="等线" w:cs="Calibri"/>
                      <w:color w:val="9C0006"/>
                      <w:kern w:val="0"/>
                      <w:szCs w:val="21"/>
                    </w:rPr>
                    <w:t>81%</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18CCC965"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CC5035">
        <w:rPr>
          <w:rFonts w:ascii="华文楷体" w:hAnsi="华文楷体" w:hint="eastAsia"/>
          <w:sz w:val="24"/>
          <w:szCs w:val="24"/>
          <w:lang w:eastAsia="zh-CN"/>
        </w:rPr>
        <w:t>本周下行明显</w:t>
      </w:r>
      <w:r w:rsidR="00AE0E3F">
        <w:rPr>
          <w:rFonts w:ascii="华文楷体" w:hAnsi="华文楷体" w:hint="eastAsia"/>
          <w:sz w:val="24"/>
          <w:szCs w:val="24"/>
          <w:lang w:eastAsia="zh-CN"/>
        </w:rPr>
        <w:t>，</w:t>
      </w:r>
      <w:r w:rsidR="00CB4BDC">
        <w:rPr>
          <w:rFonts w:ascii="华文楷体" w:hAnsi="华文楷体" w:hint="eastAsia"/>
          <w:sz w:val="24"/>
          <w:szCs w:val="24"/>
          <w:lang w:eastAsia="zh-CN"/>
        </w:rPr>
        <w:t>创业板指</w:t>
      </w:r>
      <w:r w:rsidR="00CC5035">
        <w:rPr>
          <w:rFonts w:ascii="华文楷体" w:hAnsi="华文楷体" w:hint="eastAsia"/>
          <w:sz w:val="24"/>
          <w:szCs w:val="24"/>
          <w:lang w:eastAsia="zh-CN"/>
        </w:rPr>
        <w:t>下行幅度最大</w:t>
      </w:r>
      <w:r w:rsidR="00AE0E3F">
        <w:rPr>
          <w:rFonts w:ascii="华文楷体" w:hAnsi="华文楷体" w:hint="eastAsia"/>
          <w:sz w:val="24"/>
          <w:szCs w:val="24"/>
          <w:lang w:eastAsia="zh-CN"/>
        </w:rPr>
        <w:t>，</w:t>
      </w:r>
      <w:r w:rsidR="00CB4BDC">
        <w:rPr>
          <w:rFonts w:ascii="华文楷体" w:hAnsi="华文楷体" w:hint="eastAsia"/>
          <w:sz w:val="24"/>
          <w:szCs w:val="24"/>
          <w:lang w:eastAsia="zh-CN"/>
        </w:rPr>
        <w:t>各板块</w:t>
      </w:r>
      <w:r w:rsidR="004C22D4">
        <w:rPr>
          <w:rFonts w:ascii="华文楷体" w:hAnsi="华文楷体" w:hint="eastAsia"/>
          <w:sz w:val="24"/>
          <w:szCs w:val="24"/>
          <w:lang w:eastAsia="zh-CN"/>
        </w:rPr>
        <w:t>成交量</w:t>
      </w:r>
      <w:r w:rsidR="00CC5035">
        <w:rPr>
          <w:rFonts w:ascii="华文楷体" w:hAnsi="华文楷体" w:hint="eastAsia"/>
          <w:sz w:val="24"/>
          <w:szCs w:val="24"/>
          <w:lang w:eastAsia="zh-CN"/>
        </w:rPr>
        <w:t>涨跌互现，其中创业板指、上证5</w:t>
      </w:r>
      <w:r w:rsidR="00CC5035">
        <w:rPr>
          <w:rFonts w:ascii="华文楷体" w:hAnsi="华文楷体"/>
          <w:sz w:val="24"/>
          <w:szCs w:val="24"/>
          <w:lang w:eastAsia="zh-CN"/>
        </w:rPr>
        <w:t>0</w:t>
      </w:r>
      <w:r w:rsidR="00CC5035">
        <w:rPr>
          <w:rFonts w:ascii="华文楷体" w:hAnsi="华文楷体" w:hint="eastAsia"/>
          <w:sz w:val="24"/>
          <w:szCs w:val="24"/>
          <w:lang w:eastAsia="zh-CN"/>
        </w:rPr>
        <w:t>和沪深3</w:t>
      </w:r>
      <w:r w:rsidR="00CC5035">
        <w:rPr>
          <w:rFonts w:ascii="华文楷体" w:hAnsi="华文楷体"/>
          <w:sz w:val="24"/>
          <w:szCs w:val="24"/>
          <w:lang w:eastAsia="zh-CN"/>
        </w:rPr>
        <w:t>00</w:t>
      </w:r>
      <w:r w:rsidR="00CC5035">
        <w:rPr>
          <w:rFonts w:ascii="华文楷体" w:hAnsi="华文楷体" w:hint="eastAsia"/>
          <w:sz w:val="24"/>
          <w:szCs w:val="24"/>
          <w:lang w:eastAsia="zh-CN"/>
        </w:rPr>
        <w:t>成交量适度萎缩</w:t>
      </w:r>
      <w:r w:rsidRPr="003926C0">
        <w:rPr>
          <w:rFonts w:ascii="华文楷体" w:hAnsi="华文楷体" w:hint="eastAsia"/>
          <w:sz w:val="24"/>
          <w:szCs w:val="24"/>
          <w:lang w:eastAsia="zh-CN"/>
        </w:rPr>
        <w:t>。</w:t>
      </w:r>
      <w:r>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FA1470">
        <w:rPr>
          <w:rFonts w:ascii="华文楷体" w:hAnsi="华文楷体" w:hint="eastAsia"/>
          <w:sz w:val="24"/>
          <w:szCs w:val="24"/>
          <w:lang w:eastAsia="zh-CN"/>
        </w:rPr>
        <w:t>，</w:t>
      </w:r>
      <w:r w:rsidR="00CC5035">
        <w:rPr>
          <w:rFonts w:ascii="华文楷体" w:hAnsi="华文楷体" w:hint="eastAsia"/>
          <w:sz w:val="24"/>
          <w:szCs w:val="24"/>
          <w:lang w:eastAsia="zh-CN"/>
        </w:rPr>
        <w:t>继续关注</w:t>
      </w:r>
      <w:r w:rsidR="00CC5035" w:rsidRPr="00CC5035">
        <w:rPr>
          <w:rFonts w:ascii="华文楷体" w:hAnsi="华文楷体" w:hint="eastAsia"/>
          <w:sz w:val="24"/>
          <w:szCs w:val="24"/>
          <w:lang w:eastAsia="zh-CN"/>
        </w:rPr>
        <w:t>近期占据优势的顺周期板块</w:t>
      </w:r>
      <w:r w:rsidR="00CC5035">
        <w:rPr>
          <w:rFonts w:ascii="华文楷体" w:hAnsi="华文楷体" w:hint="eastAsia"/>
          <w:sz w:val="24"/>
          <w:szCs w:val="24"/>
          <w:lang w:eastAsia="zh-CN"/>
        </w:rPr>
        <w:t>，</w:t>
      </w:r>
      <w:r w:rsidR="00CC5035" w:rsidRPr="00CC5035">
        <w:rPr>
          <w:rFonts w:ascii="华文楷体" w:hAnsi="华文楷体" w:hint="eastAsia"/>
          <w:sz w:val="24"/>
          <w:szCs w:val="24"/>
          <w:lang w:eastAsia="zh-CN"/>
        </w:rPr>
        <w:t>包括有色、化工及钢铁等近期</w:t>
      </w:r>
      <w:r w:rsidR="00CC5035">
        <w:rPr>
          <w:rFonts w:ascii="华文楷体" w:hAnsi="华文楷体" w:hint="eastAsia"/>
          <w:sz w:val="24"/>
          <w:szCs w:val="24"/>
          <w:lang w:eastAsia="zh-CN"/>
        </w:rPr>
        <w:t>持续</w:t>
      </w:r>
      <w:r w:rsidR="00CC5035" w:rsidRPr="00CC5035">
        <w:rPr>
          <w:rFonts w:ascii="华文楷体" w:hAnsi="华文楷体" w:hint="eastAsia"/>
          <w:sz w:val="24"/>
          <w:szCs w:val="24"/>
          <w:lang w:eastAsia="zh-CN"/>
        </w:rPr>
        <w:t>相对强势的</w:t>
      </w:r>
      <w:r w:rsidR="00CC5035">
        <w:rPr>
          <w:rFonts w:ascii="华文楷体" w:hAnsi="华文楷体" w:hint="eastAsia"/>
          <w:sz w:val="24"/>
          <w:szCs w:val="24"/>
          <w:lang w:eastAsia="zh-CN"/>
        </w:rPr>
        <w:t>周期</w:t>
      </w:r>
      <w:r w:rsidR="00CC5035" w:rsidRPr="00CC5035">
        <w:rPr>
          <w:rFonts w:ascii="华文楷体" w:hAnsi="华文楷体" w:hint="eastAsia"/>
          <w:sz w:val="24"/>
          <w:szCs w:val="24"/>
          <w:lang w:eastAsia="zh-CN"/>
        </w:rPr>
        <w:t>板块</w:t>
      </w:r>
      <w:r w:rsidR="00CC5035">
        <w:rPr>
          <w:rFonts w:ascii="华文楷体" w:hAnsi="华文楷体" w:hint="eastAsia"/>
          <w:sz w:val="24"/>
          <w:szCs w:val="24"/>
          <w:lang w:eastAsia="zh-CN"/>
        </w:rPr>
        <w:t>；同时关注低估值品种后续反弹机会。</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7077F1">
        <w:rPr>
          <w:rFonts w:ascii="华文楷体" w:hAnsi="华文楷体" w:hint="eastAsia"/>
          <w:sz w:val="24"/>
          <w:szCs w:val="24"/>
          <w:lang w:eastAsia="zh-CN"/>
        </w:rPr>
        <w:t>-</w:t>
      </w:r>
      <w:r w:rsidR="007077F1">
        <w:rPr>
          <w:rFonts w:ascii="华文楷体" w:hAnsi="华文楷体"/>
          <w:sz w:val="24"/>
          <w:szCs w:val="24"/>
          <w:lang w:eastAsia="zh-CN"/>
        </w:rPr>
        <w:t>5.1</w:t>
      </w:r>
      <w:r w:rsidR="00AC28BB">
        <w:rPr>
          <w:rFonts w:ascii="华文楷体" w:hAnsi="华文楷体"/>
          <w:sz w:val="24"/>
          <w:szCs w:val="24"/>
          <w:lang w:eastAsia="zh-CN"/>
        </w:rPr>
        <w:t>%、</w:t>
      </w:r>
      <w:r w:rsidR="007077F1">
        <w:rPr>
          <w:rFonts w:ascii="华文楷体" w:hAnsi="华文楷体" w:hint="eastAsia"/>
          <w:sz w:val="24"/>
          <w:szCs w:val="24"/>
          <w:lang w:eastAsia="zh-CN"/>
        </w:rPr>
        <w:t>-</w:t>
      </w:r>
      <w:r w:rsidR="007077F1">
        <w:rPr>
          <w:rFonts w:ascii="华文楷体" w:hAnsi="华文楷体"/>
          <w:sz w:val="24"/>
          <w:szCs w:val="24"/>
          <w:lang w:eastAsia="zh-CN"/>
        </w:rPr>
        <w:t>11.3</w:t>
      </w:r>
      <w:r w:rsidR="00AC28BB">
        <w:rPr>
          <w:rFonts w:ascii="华文楷体" w:hAnsi="华文楷体"/>
          <w:sz w:val="24"/>
          <w:szCs w:val="24"/>
          <w:lang w:eastAsia="zh-CN"/>
        </w:rPr>
        <w:t>%、</w:t>
      </w:r>
      <w:r w:rsidR="005C6F6B">
        <w:rPr>
          <w:rFonts w:ascii="华文楷体" w:hAnsi="华文楷体" w:hint="eastAsia"/>
          <w:sz w:val="24"/>
          <w:szCs w:val="24"/>
          <w:lang w:eastAsia="zh-CN"/>
        </w:rPr>
        <w:t>-</w:t>
      </w:r>
      <w:r w:rsidR="007077F1">
        <w:rPr>
          <w:rFonts w:ascii="华文楷体" w:hAnsi="华文楷体"/>
          <w:sz w:val="24"/>
          <w:szCs w:val="24"/>
          <w:lang w:eastAsia="zh-CN"/>
        </w:rPr>
        <w:t>6.4</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5C6F6B">
        <w:rPr>
          <w:rFonts w:ascii="华文楷体" w:hAnsi="华文楷体" w:hint="eastAsia"/>
          <w:sz w:val="24"/>
          <w:szCs w:val="24"/>
          <w:lang w:eastAsia="zh-CN"/>
        </w:rPr>
        <w:t>-</w:t>
      </w:r>
      <w:r w:rsidR="007077F1">
        <w:rPr>
          <w:rFonts w:ascii="华文楷体" w:hAnsi="华文楷体"/>
          <w:sz w:val="24"/>
          <w:szCs w:val="24"/>
          <w:lang w:eastAsia="zh-CN"/>
        </w:rPr>
        <w:t>7.6</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C22D4">
        <w:rPr>
          <w:rFonts w:ascii="华文楷体" w:hAnsi="华文楷体" w:hint="eastAsia"/>
          <w:sz w:val="24"/>
          <w:szCs w:val="24"/>
          <w:lang w:eastAsia="zh-CN"/>
        </w:rPr>
        <w:t>表现相对较弱</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7077F1">
        <w:rPr>
          <w:rFonts w:ascii="华文楷体" w:hAnsi="华文楷体" w:hint="eastAsia"/>
          <w:sz w:val="24"/>
          <w:szCs w:val="24"/>
          <w:lang w:eastAsia="zh-CN"/>
        </w:rPr>
        <w:t>下跌1</w:t>
      </w:r>
      <w:r w:rsidR="007077F1">
        <w:rPr>
          <w:rFonts w:ascii="华文楷体" w:hAnsi="华文楷体"/>
          <w:sz w:val="24"/>
          <w:szCs w:val="24"/>
          <w:lang w:eastAsia="zh-CN"/>
        </w:rPr>
        <w:t>.5</w:t>
      </w:r>
      <w:r w:rsidR="001E3C02">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7077F1">
        <w:tblPrEx>
          <w:tblCellMar>
            <w:left w:w="108" w:type="dxa"/>
            <w:right w:w="108" w:type="dxa"/>
          </w:tblCellMar>
        </w:tblPrEx>
        <w:trPr>
          <w:trHeight w:val="2921"/>
          <w:jc w:val="center"/>
        </w:trPr>
        <w:tc>
          <w:tcPr>
            <w:tcW w:w="4939" w:type="dxa"/>
            <w:vAlign w:val="center"/>
          </w:tcPr>
          <w:p w14:paraId="5C83721A" w14:textId="2B820882" w:rsidR="00E0626C" w:rsidRPr="00345C30" w:rsidRDefault="00C029A2" w:rsidP="00345C30">
            <w:pPr>
              <w:widowControl/>
              <w:jc w:val="left"/>
              <w:rPr>
                <w:rFonts w:ascii="宋体" w:hAnsi="宋体" w:cs="宋体"/>
                <w:kern w:val="0"/>
                <w:sz w:val="24"/>
                <w:szCs w:val="24"/>
              </w:rPr>
            </w:pPr>
            <w:r>
              <w:rPr>
                <w:noProof/>
              </w:rPr>
              <w:drawing>
                <wp:inline distT="0" distB="0" distL="0" distR="0" wp14:anchorId="368D1BA6" wp14:editId="20C46FD9">
                  <wp:extent cx="3158197" cy="1947423"/>
                  <wp:effectExtent l="0" t="0" r="444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82580" cy="1962458"/>
                          </a:xfrm>
                          <a:prstGeom prst="rect">
                            <a:avLst/>
                          </a:prstGeom>
                        </pic:spPr>
                      </pic:pic>
                    </a:graphicData>
                  </a:graphic>
                </wp:inline>
              </w:drawing>
            </w:r>
          </w:p>
        </w:tc>
        <w:tc>
          <w:tcPr>
            <w:tcW w:w="4938" w:type="dxa"/>
            <w:vAlign w:val="center"/>
          </w:tcPr>
          <w:p w14:paraId="39BD4383" w14:textId="19488F2D" w:rsidR="00E0626C" w:rsidRPr="007E0340" w:rsidRDefault="007077F1" w:rsidP="009A2BA0">
            <w:pPr>
              <w:jc w:val="center"/>
              <w:rPr>
                <w:noProof/>
                <w:szCs w:val="18"/>
              </w:rPr>
            </w:pPr>
            <w:r>
              <w:rPr>
                <w:noProof/>
              </w:rPr>
              <w:drawing>
                <wp:inline distT="0" distB="0" distL="0" distR="0" wp14:anchorId="0FA97071" wp14:editId="5B04D64F">
                  <wp:extent cx="2998470" cy="1967181"/>
                  <wp:effectExtent l="0" t="0" r="0" b="0"/>
                  <wp:docPr id="10" name="图表 1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1E3C6A7"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617BC1" w:rsidRPr="00617BC1">
        <w:rPr>
          <w:rFonts w:ascii="华文楷体" w:hAnsi="华文楷体" w:hint="eastAsia"/>
          <w:bCs/>
          <w:sz w:val="24"/>
          <w:szCs w:val="24"/>
          <w:lang w:eastAsia="zh-CN"/>
        </w:rPr>
        <w:t>上游全国高炉开工率周环比下降0.3个百分点，强于</w:t>
      </w:r>
      <w:r w:rsidR="00617BC1">
        <w:rPr>
          <w:rFonts w:ascii="华文楷体" w:hAnsi="华文楷体" w:hint="eastAsia"/>
          <w:bCs/>
          <w:sz w:val="24"/>
          <w:szCs w:val="24"/>
          <w:lang w:eastAsia="zh-CN"/>
        </w:rPr>
        <w:t>2</w:t>
      </w:r>
      <w:r w:rsidR="00617BC1">
        <w:rPr>
          <w:rFonts w:ascii="华文楷体" w:hAnsi="华文楷体"/>
          <w:bCs/>
          <w:sz w:val="24"/>
          <w:szCs w:val="24"/>
          <w:lang w:eastAsia="zh-CN"/>
        </w:rPr>
        <w:t>0</w:t>
      </w:r>
      <w:r w:rsidR="00617BC1" w:rsidRPr="00617BC1">
        <w:rPr>
          <w:rFonts w:ascii="华文楷体" w:hAnsi="华文楷体" w:hint="eastAsia"/>
          <w:bCs/>
          <w:sz w:val="24"/>
          <w:szCs w:val="24"/>
          <w:lang w:eastAsia="zh-CN"/>
        </w:rPr>
        <w:t>18</w:t>
      </w:r>
      <w:r w:rsidR="00617BC1">
        <w:rPr>
          <w:rFonts w:ascii="华文楷体" w:hAnsi="华文楷体" w:hint="eastAsia"/>
          <w:bCs/>
          <w:sz w:val="24"/>
          <w:szCs w:val="24"/>
          <w:lang w:eastAsia="zh-CN"/>
        </w:rPr>
        <w:t>、2</w:t>
      </w:r>
      <w:r w:rsidR="00617BC1">
        <w:rPr>
          <w:rFonts w:ascii="华文楷体" w:hAnsi="华文楷体"/>
          <w:bCs/>
          <w:sz w:val="24"/>
          <w:szCs w:val="24"/>
          <w:lang w:eastAsia="zh-CN"/>
        </w:rPr>
        <w:t>0</w:t>
      </w:r>
      <w:r w:rsidR="00617BC1" w:rsidRPr="00617BC1">
        <w:rPr>
          <w:rFonts w:ascii="华文楷体" w:hAnsi="华文楷体" w:hint="eastAsia"/>
          <w:bCs/>
          <w:sz w:val="24"/>
          <w:szCs w:val="24"/>
          <w:lang w:eastAsia="zh-CN"/>
        </w:rPr>
        <w:t>19年</w:t>
      </w:r>
      <w:r w:rsidR="00617BC1">
        <w:rPr>
          <w:rFonts w:ascii="华文楷体" w:hAnsi="华文楷体" w:hint="eastAsia"/>
          <w:bCs/>
          <w:sz w:val="24"/>
          <w:szCs w:val="24"/>
          <w:lang w:eastAsia="zh-CN"/>
        </w:rPr>
        <w:t>农历</w:t>
      </w:r>
      <w:r w:rsidR="00617BC1" w:rsidRPr="00617BC1">
        <w:rPr>
          <w:rFonts w:ascii="华文楷体" w:hAnsi="华文楷体" w:hint="eastAsia"/>
          <w:bCs/>
          <w:sz w:val="24"/>
          <w:szCs w:val="24"/>
          <w:lang w:eastAsia="zh-CN"/>
        </w:rPr>
        <w:t>同期，焦化企业开工率下降0.02个百分点，弱于</w:t>
      </w:r>
      <w:r w:rsidR="00617BC1">
        <w:rPr>
          <w:rFonts w:ascii="华文楷体" w:hAnsi="华文楷体"/>
          <w:bCs/>
          <w:sz w:val="24"/>
          <w:szCs w:val="24"/>
          <w:lang w:eastAsia="zh-CN"/>
        </w:rPr>
        <w:t>2018</w:t>
      </w:r>
      <w:r w:rsidR="00617BC1">
        <w:rPr>
          <w:rFonts w:ascii="华文楷体" w:hAnsi="华文楷体" w:hint="eastAsia"/>
          <w:bCs/>
          <w:sz w:val="24"/>
          <w:szCs w:val="24"/>
          <w:lang w:eastAsia="zh-CN"/>
        </w:rPr>
        <w:t>年和2</w:t>
      </w:r>
      <w:r w:rsidR="00617BC1">
        <w:rPr>
          <w:rFonts w:ascii="华文楷体" w:hAnsi="华文楷体"/>
          <w:bCs/>
          <w:sz w:val="24"/>
          <w:szCs w:val="24"/>
          <w:lang w:eastAsia="zh-CN"/>
        </w:rPr>
        <w:t>019</w:t>
      </w:r>
      <w:r w:rsidR="00617BC1">
        <w:rPr>
          <w:rFonts w:ascii="华文楷体" w:hAnsi="华文楷体" w:hint="eastAsia"/>
          <w:bCs/>
          <w:sz w:val="24"/>
          <w:szCs w:val="24"/>
          <w:lang w:eastAsia="zh-CN"/>
        </w:rPr>
        <w:t>年农历</w:t>
      </w:r>
      <w:r w:rsidR="00617BC1" w:rsidRPr="00617BC1">
        <w:rPr>
          <w:rFonts w:ascii="华文楷体" w:hAnsi="华文楷体" w:hint="eastAsia"/>
          <w:bCs/>
          <w:sz w:val="24"/>
          <w:szCs w:val="24"/>
          <w:lang w:eastAsia="zh-CN"/>
        </w:rPr>
        <w:t>同期；</w:t>
      </w:r>
      <w:proofErr w:type="gramStart"/>
      <w:r w:rsidR="00617BC1" w:rsidRPr="00617BC1">
        <w:rPr>
          <w:rFonts w:ascii="华文楷体" w:hAnsi="华文楷体" w:hint="eastAsia"/>
          <w:bCs/>
          <w:sz w:val="24"/>
          <w:szCs w:val="24"/>
          <w:lang w:eastAsia="zh-CN"/>
        </w:rPr>
        <w:t>地炼开工率</w:t>
      </w:r>
      <w:proofErr w:type="gramEnd"/>
      <w:r w:rsidR="00617BC1" w:rsidRPr="00617BC1">
        <w:rPr>
          <w:rFonts w:ascii="华文楷体" w:hAnsi="华文楷体" w:hint="eastAsia"/>
          <w:bCs/>
          <w:sz w:val="24"/>
          <w:szCs w:val="24"/>
          <w:lang w:eastAsia="zh-CN"/>
        </w:rPr>
        <w:t>上升0.2个百分点，沥青装置开工率上升3.2个百分点，PTA开工率下降0.7个百分点；下游全</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半钢</w:t>
      </w:r>
      <w:proofErr w:type="gramStart"/>
      <w:r w:rsidR="00617BC1" w:rsidRPr="00617BC1">
        <w:rPr>
          <w:rFonts w:ascii="华文楷体" w:hAnsi="华文楷体" w:hint="eastAsia"/>
          <w:bCs/>
          <w:sz w:val="24"/>
          <w:szCs w:val="24"/>
          <w:lang w:eastAsia="zh-CN"/>
        </w:rPr>
        <w:t>胎</w:t>
      </w:r>
      <w:proofErr w:type="gramEnd"/>
      <w:r w:rsidR="00617BC1" w:rsidRPr="00617BC1">
        <w:rPr>
          <w:rFonts w:ascii="华文楷体" w:hAnsi="华文楷体" w:hint="eastAsia"/>
          <w:bCs/>
          <w:sz w:val="24"/>
          <w:szCs w:val="24"/>
          <w:lang w:eastAsia="zh-CN"/>
        </w:rPr>
        <w:t>开工率大幅提升34.8</w:t>
      </w:r>
      <w:r w:rsidR="00617BC1">
        <w:rPr>
          <w:rFonts w:ascii="华文楷体" w:hAnsi="华文楷体" w:hint="eastAsia"/>
          <w:bCs/>
          <w:sz w:val="24"/>
          <w:szCs w:val="24"/>
          <w:lang w:eastAsia="zh-CN"/>
        </w:rPr>
        <w:t>和</w:t>
      </w:r>
      <w:r w:rsidR="00617BC1" w:rsidRPr="00617BC1">
        <w:rPr>
          <w:rFonts w:ascii="华文楷体" w:hAnsi="华文楷体" w:hint="eastAsia"/>
          <w:bCs/>
          <w:sz w:val="24"/>
          <w:szCs w:val="24"/>
          <w:lang w:eastAsia="zh-CN"/>
        </w:rPr>
        <w:t>41.5个百分点，弱于</w:t>
      </w:r>
      <w:r w:rsidR="00617BC1">
        <w:rPr>
          <w:rFonts w:ascii="华文楷体" w:hAnsi="华文楷体"/>
          <w:bCs/>
          <w:sz w:val="24"/>
          <w:szCs w:val="24"/>
          <w:lang w:eastAsia="zh-CN"/>
        </w:rPr>
        <w:t>2018</w:t>
      </w:r>
      <w:r w:rsidR="00617BC1">
        <w:rPr>
          <w:rFonts w:ascii="华文楷体" w:hAnsi="华文楷体" w:hint="eastAsia"/>
          <w:bCs/>
          <w:sz w:val="24"/>
          <w:szCs w:val="24"/>
          <w:lang w:eastAsia="zh-CN"/>
        </w:rPr>
        <w:t>年和2</w:t>
      </w:r>
      <w:r w:rsidR="00617BC1">
        <w:rPr>
          <w:rFonts w:ascii="华文楷体" w:hAnsi="华文楷体"/>
          <w:bCs/>
          <w:sz w:val="24"/>
          <w:szCs w:val="24"/>
          <w:lang w:eastAsia="zh-CN"/>
        </w:rPr>
        <w:t>019</w:t>
      </w:r>
      <w:r w:rsidR="00617BC1">
        <w:rPr>
          <w:rFonts w:ascii="华文楷体" w:hAnsi="华文楷体" w:hint="eastAsia"/>
          <w:bCs/>
          <w:sz w:val="24"/>
          <w:szCs w:val="24"/>
          <w:lang w:eastAsia="zh-CN"/>
        </w:rPr>
        <w:t>年</w:t>
      </w:r>
      <w:r w:rsidR="00617BC1" w:rsidRPr="00617BC1">
        <w:rPr>
          <w:rFonts w:ascii="华文楷体" w:hAnsi="华文楷体" w:hint="eastAsia"/>
          <w:bCs/>
          <w:sz w:val="24"/>
          <w:szCs w:val="24"/>
          <w:lang w:eastAsia="zh-CN"/>
        </w:rPr>
        <w:t>农历同期</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就地过年利好复工，节后第二周下游生产迅速走强，纺织业复工显著快于往年</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上游钢铁生产偏弱，化工生产整体偏强。</w:t>
      </w:r>
    </w:p>
    <w:p w14:paraId="21425444" w14:textId="09A7B13C"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617BC1" w:rsidRPr="00617BC1">
        <w:rPr>
          <w:rFonts w:ascii="华文楷体" w:hAnsi="华文楷体" w:hint="eastAsia"/>
          <w:sz w:val="24"/>
          <w:szCs w:val="24"/>
          <w:lang w:eastAsia="zh-CN"/>
        </w:rPr>
        <w:t>30城商品房周均成交面积是上周的3.9倍，节后楼市</w:t>
      </w:r>
      <w:r w:rsidR="00617BC1">
        <w:rPr>
          <w:rFonts w:ascii="华文楷体" w:hAnsi="华文楷体" w:hint="eastAsia"/>
          <w:sz w:val="24"/>
          <w:szCs w:val="24"/>
          <w:lang w:eastAsia="zh-CN"/>
        </w:rPr>
        <w:t>明显</w:t>
      </w:r>
      <w:r w:rsidR="00617BC1" w:rsidRPr="00617BC1">
        <w:rPr>
          <w:rFonts w:ascii="华文楷体" w:hAnsi="华文楷体" w:hint="eastAsia"/>
          <w:sz w:val="24"/>
          <w:szCs w:val="24"/>
          <w:lang w:eastAsia="zh-CN"/>
        </w:rPr>
        <w:t>升温。截至</w:t>
      </w:r>
      <w:r w:rsidR="00617BC1">
        <w:rPr>
          <w:rFonts w:ascii="华文楷体" w:hAnsi="华文楷体" w:hint="eastAsia"/>
          <w:sz w:val="24"/>
          <w:szCs w:val="24"/>
          <w:lang w:eastAsia="zh-CN"/>
        </w:rPr>
        <w:t>上周地产</w:t>
      </w:r>
      <w:r w:rsidR="00617BC1" w:rsidRPr="00617BC1">
        <w:rPr>
          <w:rFonts w:ascii="华文楷体" w:hAnsi="华文楷体" w:hint="eastAsia"/>
          <w:sz w:val="24"/>
          <w:szCs w:val="24"/>
          <w:lang w:eastAsia="zh-CN"/>
        </w:rPr>
        <w:t>累计成交面积是2020年农历同期的2.2倍，较2019年农历同期提升32%，其中一线城市贡献大，是2020年农历同期的3倍，较2019年农历同期同比提升84%。上周消息称，今年22个重点城市改变供地政策，全年城市住宅用地公告不超过3次，集中在3月</w:t>
      </w:r>
      <w:r w:rsidR="00617BC1">
        <w:rPr>
          <w:rFonts w:ascii="华文楷体" w:hAnsi="华文楷体" w:hint="eastAsia"/>
          <w:sz w:val="24"/>
          <w:szCs w:val="24"/>
          <w:lang w:eastAsia="zh-CN"/>
        </w:rPr>
        <w:t>、</w:t>
      </w:r>
      <w:r w:rsidR="00617BC1" w:rsidRPr="00617BC1">
        <w:rPr>
          <w:rFonts w:ascii="华文楷体" w:hAnsi="华文楷体" w:hint="eastAsia"/>
          <w:sz w:val="24"/>
          <w:szCs w:val="24"/>
          <w:lang w:eastAsia="zh-CN"/>
        </w:rPr>
        <w:t>4月</w:t>
      </w:r>
      <w:r w:rsidR="00617BC1">
        <w:rPr>
          <w:rFonts w:ascii="华文楷体" w:hAnsi="华文楷体" w:hint="eastAsia"/>
          <w:sz w:val="24"/>
          <w:szCs w:val="24"/>
          <w:lang w:eastAsia="zh-CN"/>
        </w:rPr>
        <w:t>和</w:t>
      </w:r>
      <w:r w:rsidR="00617BC1" w:rsidRPr="00617BC1">
        <w:rPr>
          <w:rFonts w:ascii="华文楷体" w:hAnsi="华文楷体" w:hint="eastAsia"/>
          <w:sz w:val="24"/>
          <w:szCs w:val="24"/>
          <w:lang w:eastAsia="zh-CN"/>
        </w:rPr>
        <w:t>8月，关注</w:t>
      </w:r>
      <w:r w:rsidR="00617BC1">
        <w:rPr>
          <w:rFonts w:ascii="华文楷体" w:hAnsi="华文楷体" w:hint="eastAsia"/>
          <w:sz w:val="24"/>
          <w:szCs w:val="24"/>
          <w:lang w:eastAsia="zh-CN"/>
        </w:rPr>
        <w:t>后续</w:t>
      </w:r>
      <w:r w:rsidR="00617BC1" w:rsidRPr="00617BC1">
        <w:rPr>
          <w:rFonts w:ascii="华文楷体" w:hAnsi="华文楷体" w:hint="eastAsia"/>
          <w:sz w:val="24"/>
          <w:szCs w:val="24"/>
          <w:lang w:eastAsia="zh-CN"/>
        </w:rPr>
        <w:t>土地政策对</w:t>
      </w:r>
      <w:proofErr w:type="gramStart"/>
      <w:r w:rsidR="00617BC1" w:rsidRPr="00617BC1">
        <w:rPr>
          <w:rFonts w:ascii="华文楷体" w:hAnsi="华文楷体" w:hint="eastAsia"/>
          <w:sz w:val="24"/>
          <w:szCs w:val="24"/>
          <w:lang w:eastAsia="zh-CN"/>
        </w:rPr>
        <w:t>房企拿</w:t>
      </w:r>
      <w:proofErr w:type="gramEnd"/>
      <w:r w:rsidR="00617BC1" w:rsidRPr="00617BC1">
        <w:rPr>
          <w:rFonts w:ascii="华文楷体" w:hAnsi="华文楷体" w:hint="eastAsia"/>
          <w:sz w:val="24"/>
          <w:szCs w:val="24"/>
          <w:lang w:eastAsia="zh-CN"/>
        </w:rPr>
        <w:t>地节奏</w:t>
      </w:r>
      <w:r w:rsidR="004B130D">
        <w:rPr>
          <w:rFonts w:ascii="华文楷体" w:hAnsi="华文楷体" w:hint="eastAsia"/>
          <w:sz w:val="24"/>
          <w:szCs w:val="24"/>
          <w:lang w:eastAsia="zh-CN"/>
        </w:rPr>
        <w:t>的影响</w:t>
      </w:r>
      <w:r w:rsidR="00413862">
        <w:rPr>
          <w:rFonts w:ascii="华文楷体" w:hAnsi="华文楷体" w:hint="eastAsia"/>
          <w:sz w:val="24"/>
          <w:szCs w:val="24"/>
          <w:lang w:eastAsia="zh-CN"/>
        </w:rPr>
        <w:t>。</w:t>
      </w:r>
    </w:p>
    <w:p w14:paraId="77CCCEDF" w14:textId="49F3A322"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617BC1" w:rsidRPr="00617BC1">
        <w:rPr>
          <w:rFonts w:ascii="华文楷体" w:hAnsi="华文楷体" w:hint="eastAsia"/>
          <w:bCs/>
          <w:sz w:val="24"/>
          <w:szCs w:val="24"/>
          <w:lang w:eastAsia="zh-CN"/>
        </w:rPr>
        <w:t>BDI周均环比5%</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国内进口运价（CDFI）周环比-1%，出口运价（CCFI）周环比-1%</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上海出口运价（SCFI）周环比-3%。美国新一轮财政刺激将在参议院表决，预计3月内落地，将继续提振美国消费和我国出口</w:t>
      </w:r>
      <w:r w:rsidR="00617BC1">
        <w:rPr>
          <w:rFonts w:ascii="华文楷体" w:hAnsi="华文楷体" w:hint="eastAsia"/>
          <w:bCs/>
          <w:sz w:val="24"/>
          <w:szCs w:val="24"/>
          <w:lang w:eastAsia="zh-CN"/>
        </w:rPr>
        <w:t>，目前看</w:t>
      </w:r>
      <w:r w:rsidR="00617BC1" w:rsidRPr="00617BC1">
        <w:rPr>
          <w:rFonts w:ascii="华文楷体" w:hAnsi="华文楷体" w:hint="eastAsia"/>
          <w:bCs/>
          <w:sz w:val="24"/>
          <w:szCs w:val="24"/>
          <w:lang w:eastAsia="zh-CN"/>
        </w:rPr>
        <w:t>上半年我国出口仍有望维持高景气度。</w:t>
      </w:r>
    </w:p>
    <w:p w14:paraId="0542DAC4" w14:textId="30936E0D"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617BC1" w:rsidRPr="00617BC1">
        <w:rPr>
          <w:rFonts w:ascii="华文楷体" w:hAnsi="华文楷体" w:hint="eastAsia"/>
          <w:bCs/>
          <w:sz w:val="24"/>
          <w:szCs w:val="24"/>
          <w:lang w:eastAsia="zh-CN"/>
        </w:rPr>
        <w:t>农产品批发价格200指数周均环比-5%</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猪价周环比为-7%，较上周降幅扩大；蔬菜价格周环比-7%，节后至年中菜价处季节性下行阶段；水果价格周环比0.1%，高于往年同期。</w:t>
      </w:r>
      <w:r w:rsidR="0063487B" w:rsidRPr="0063487B">
        <w:rPr>
          <w:rFonts w:ascii="华文楷体" w:hAnsi="华文楷体" w:hint="eastAsia"/>
          <w:bCs/>
          <w:sz w:val="24"/>
          <w:szCs w:val="24"/>
          <w:lang w:eastAsia="zh-CN"/>
        </w:rPr>
        <w:t>工业品价格方面，</w:t>
      </w:r>
      <w:r w:rsidR="00617BC1" w:rsidRPr="00617BC1">
        <w:rPr>
          <w:rFonts w:ascii="华文楷体" w:hAnsi="华文楷体" w:hint="eastAsia"/>
          <w:bCs/>
          <w:sz w:val="24"/>
          <w:szCs w:val="24"/>
          <w:lang w:eastAsia="zh-CN"/>
        </w:rPr>
        <w:t>CRB商品指数周环比上升2.4%，油价、有色以及黑色系齐涨，建材价格偏弱。布伦特油价周环4%，动力煤环0.4%；铜</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铝</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铅</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锌周环比分别为7.8%</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3%</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1.9%</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1.6%；螺纹钢</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铁矿石</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焦炭周环比分别为2.1%</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1%</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4.5%；水泥</w:t>
      </w:r>
      <w:r w:rsidR="00617BC1">
        <w:rPr>
          <w:rFonts w:ascii="华文楷体" w:hAnsi="华文楷体" w:hint="eastAsia"/>
          <w:bCs/>
          <w:sz w:val="24"/>
          <w:szCs w:val="24"/>
          <w:lang w:eastAsia="zh-CN"/>
        </w:rPr>
        <w:t>、</w:t>
      </w:r>
      <w:r w:rsidR="00617BC1" w:rsidRPr="00617BC1">
        <w:rPr>
          <w:rFonts w:ascii="华文楷体" w:hAnsi="华文楷体" w:hint="eastAsia"/>
          <w:bCs/>
          <w:sz w:val="24"/>
          <w:szCs w:val="24"/>
          <w:lang w:eastAsia="zh-CN"/>
        </w:rPr>
        <w:t>玻璃价格周环比分别为-2.2%</w:t>
      </w:r>
      <w:r w:rsidR="00617BC1">
        <w:rPr>
          <w:rFonts w:ascii="华文楷体" w:hAnsi="华文楷体" w:hint="eastAsia"/>
          <w:bCs/>
          <w:sz w:val="24"/>
          <w:szCs w:val="24"/>
          <w:lang w:eastAsia="zh-CN"/>
        </w:rPr>
        <w:t>和</w:t>
      </w:r>
      <w:r w:rsidR="00617BC1" w:rsidRPr="00617BC1">
        <w:rPr>
          <w:rFonts w:ascii="华文楷体" w:hAnsi="华文楷体" w:hint="eastAsia"/>
          <w:bCs/>
          <w:sz w:val="24"/>
          <w:szCs w:val="24"/>
          <w:lang w:eastAsia="zh-CN"/>
        </w:rPr>
        <w:t>0.3%。</w:t>
      </w:r>
    </w:p>
    <w:p w14:paraId="29155A05" w14:textId="7878DD1B"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617BC1" w:rsidRPr="00617BC1">
        <w:rPr>
          <w:rFonts w:ascii="华文楷体" w:hAnsi="华文楷体" w:hint="eastAsia"/>
          <w:bCs/>
          <w:sz w:val="24"/>
          <w:szCs w:val="24"/>
          <w:lang w:eastAsia="zh-CN"/>
        </w:rPr>
        <w:t>2月至今汽车零售增速同比2019年增长13%，环比1月降幅则较大，国际油价继续上行，服装消费类高频小幅回落。</w:t>
      </w:r>
      <w:r w:rsidR="008C18FD">
        <w:rPr>
          <w:rFonts w:ascii="华文楷体" w:hAnsi="华文楷体"/>
          <w:bCs/>
          <w:sz w:val="24"/>
          <w:szCs w:val="24"/>
          <w:lang w:eastAsia="zh-CN"/>
        </w:rPr>
        <w:t xml:space="preserve"> </w:t>
      </w:r>
    </w:p>
    <w:p w14:paraId="6C0621FD" w14:textId="29ED71EB"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4F189D" w:rsidRPr="004F189D">
        <w:rPr>
          <w:rFonts w:ascii="华文楷体" w:hAnsi="华文楷体" w:hint="eastAsia"/>
          <w:bCs/>
          <w:sz w:val="24"/>
          <w:szCs w:val="24"/>
          <w:lang w:eastAsia="zh-CN"/>
        </w:rPr>
        <w:t>布伦</w:t>
      </w:r>
      <w:proofErr w:type="gramStart"/>
      <w:r w:rsidR="004F189D" w:rsidRPr="004F189D">
        <w:rPr>
          <w:rFonts w:ascii="华文楷体" w:hAnsi="华文楷体" w:hint="eastAsia"/>
          <w:bCs/>
          <w:sz w:val="24"/>
          <w:szCs w:val="24"/>
          <w:lang w:eastAsia="zh-CN"/>
        </w:rPr>
        <w:t>特</w:t>
      </w:r>
      <w:proofErr w:type="gramEnd"/>
      <w:r w:rsidR="004F189D" w:rsidRPr="004F189D">
        <w:rPr>
          <w:rFonts w:ascii="华文楷体" w:hAnsi="华文楷体" w:hint="eastAsia"/>
          <w:bCs/>
          <w:sz w:val="24"/>
          <w:szCs w:val="24"/>
          <w:lang w:eastAsia="zh-CN"/>
        </w:rPr>
        <w:t>原油</w:t>
      </w:r>
      <w:proofErr w:type="gramStart"/>
      <w:r w:rsidR="004F189D" w:rsidRPr="004F189D">
        <w:rPr>
          <w:rFonts w:ascii="华文楷体" w:hAnsi="华文楷体" w:hint="eastAsia"/>
          <w:bCs/>
          <w:sz w:val="24"/>
          <w:szCs w:val="24"/>
          <w:lang w:eastAsia="zh-CN"/>
        </w:rPr>
        <w:t>价格</w:t>
      </w:r>
      <w:r w:rsidR="00413862">
        <w:rPr>
          <w:rFonts w:ascii="华文楷体" w:hAnsi="华文楷体" w:hint="eastAsia"/>
          <w:bCs/>
          <w:sz w:val="24"/>
          <w:szCs w:val="24"/>
          <w:lang w:eastAsia="zh-CN"/>
        </w:rPr>
        <w:t>周度</w:t>
      </w:r>
      <w:proofErr w:type="gramEnd"/>
      <w:r w:rsidR="00413862">
        <w:rPr>
          <w:rFonts w:ascii="华文楷体" w:hAnsi="华文楷体" w:hint="eastAsia"/>
          <w:bCs/>
          <w:sz w:val="24"/>
          <w:szCs w:val="24"/>
          <w:lang w:eastAsia="zh-CN"/>
        </w:rPr>
        <w:t>变化上行</w:t>
      </w:r>
      <w:r w:rsidR="00617BC1">
        <w:rPr>
          <w:rFonts w:ascii="华文楷体" w:hAnsi="华文楷体"/>
          <w:bCs/>
          <w:sz w:val="24"/>
          <w:szCs w:val="24"/>
          <w:lang w:eastAsia="zh-CN"/>
        </w:rPr>
        <w:t>4.98</w:t>
      </w:r>
      <w:r w:rsidR="004F189D" w:rsidRPr="004F189D">
        <w:rPr>
          <w:rFonts w:ascii="华文楷体" w:hAnsi="华文楷体" w:hint="eastAsia"/>
          <w:bCs/>
          <w:sz w:val="24"/>
          <w:szCs w:val="24"/>
          <w:lang w:eastAsia="zh-CN"/>
        </w:rPr>
        <w:t>%</w:t>
      </w:r>
      <w:r w:rsidR="00413862">
        <w:rPr>
          <w:rFonts w:ascii="华文楷体" w:hAnsi="华文楷体" w:hint="eastAsia"/>
          <w:bCs/>
          <w:sz w:val="24"/>
          <w:szCs w:val="24"/>
          <w:lang w:eastAsia="zh-CN"/>
        </w:rPr>
        <w:t>，N</w:t>
      </w:r>
      <w:r w:rsidR="00413862">
        <w:rPr>
          <w:rFonts w:ascii="华文楷体" w:hAnsi="华文楷体"/>
          <w:bCs/>
          <w:sz w:val="24"/>
          <w:szCs w:val="24"/>
          <w:lang w:eastAsia="zh-CN"/>
        </w:rPr>
        <w:t>YMEX</w:t>
      </w:r>
      <w:r w:rsidR="00413862">
        <w:rPr>
          <w:rFonts w:ascii="华文楷体" w:hAnsi="华文楷体" w:hint="eastAsia"/>
          <w:bCs/>
          <w:sz w:val="24"/>
          <w:szCs w:val="24"/>
          <w:lang w:eastAsia="zh-CN"/>
        </w:rPr>
        <w:t>轻质</w:t>
      </w:r>
      <w:proofErr w:type="gramStart"/>
      <w:r w:rsidR="00413862">
        <w:rPr>
          <w:rFonts w:ascii="华文楷体" w:hAnsi="华文楷体" w:hint="eastAsia"/>
          <w:bCs/>
          <w:sz w:val="24"/>
          <w:szCs w:val="24"/>
          <w:lang w:eastAsia="zh-CN"/>
        </w:rPr>
        <w:t>原油周度</w:t>
      </w:r>
      <w:proofErr w:type="gramEnd"/>
      <w:r w:rsidR="00413862">
        <w:rPr>
          <w:rFonts w:ascii="华文楷体" w:hAnsi="华文楷体" w:hint="eastAsia"/>
          <w:bCs/>
          <w:sz w:val="24"/>
          <w:szCs w:val="24"/>
          <w:lang w:eastAsia="zh-CN"/>
        </w:rPr>
        <w:t>变化</w:t>
      </w:r>
      <w:r w:rsidR="00617BC1">
        <w:rPr>
          <w:rFonts w:ascii="华文楷体" w:hAnsi="华文楷体" w:hint="eastAsia"/>
          <w:bCs/>
          <w:sz w:val="24"/>
          <w:szCs w:val="24"/>
          <w:lang w:eastAsia="zh-CN"/>
        </w:rPr>
        <w:t>上行</w:t>
      </w:r>
      <w:r w:rsidR="00617BC1">
        <w:rPr>
          <w:rFonts w:ascii="华文楷体" w:hAnsi="华文楷体"/>
          <w:bCs/>
          <w:sz w:val="24"/>
          <w:szCs w:val="24"/>
          <w:lang w:eastAsia="zh-CN"/>
        </w:rPr>
        <w:t>4.49</w:t>
      </w:r>
      <w:r w:rsidR="00413862">
        <w:rPr>
          <w:rFonts w:ascii="华文楷体" w:hAnsi="华文楷体" w:hint="eastAsia"/>
          <w:bCs/>
          <w:sz w:val="24"/>
          <w:szCs w:val="24"/>
          <w:lang w:eastAsia="zh-CN"/>
        </w:rPr>
        <w:t>%</w:t>
      </w:r>
      <w:r w:rsidR="004F189D" w:rsidRPr="004F189D">
        <w:rPr>
          <w:rFonts w:ascii="华文楷体" w:hAnsi="华文楷体" w:hint="eastAsia"/>
          <w:bCs/>
          <w:sz w:val="24"/>
          <w:szCs w:val="24"/>
          <w:lang w:eastAsia="zh-CN"/>
        </w:rPr>
        <w:t>。</w:t>
      </w:r>
    </w:p>
    <w:p w14:paraId="35D3E229" w14:textId="1A8D2101" w:rsidR="00DA6262" w:rsidRDefault="004B130D"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proofErr w:type="gramStart"/>
      <w:r w:rsidR="005A733B" w:rsidRPr="005A733B">
        <w:rPr>
          <w:rFonts w:ascii="华文楷体" w:hAnsi="华文楷体" w:hint="eastAsia"/>
          <w:bCs/>
          <w:sz w:val="24"/>
          <w:szCs w:val="24"/>
          <w:lang w:eastAsia="zh-CN"/>
        </w:rPr>
        <w:t>财新</w:t>
      </w:r>
      <w:proofErr w:type="gramEnd"/>
      <w:r w:rsidR="005A733B" w:rsidRPr="005A733B">
        <w:rPr>
          <w:rFonts w:ascii="华文楷体" w:hAnsi="华文楷体" w:hint="eastAsia"/>
          <w:bCs/>
          <w:sz w:val="24"/>
          <w:szCs w:val="24"/>
          <w:lang w:eastAsia="zh-CN"/>
        </w:rPr>
        <w:t>PMI、美国2月就业数据</w:t>
      </w:r>
      <w:r w:rsidR="00791236" w:rsidRPr="00791236">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7F7C1BD0"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4B130D">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4F0AEEB1"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1959A4" w:rsidRPr="001959A4">
        <w:rPr>
          <w:rFonts w:ascii="华文楷体" w:hAnsi="华文楷体" w:hint="eastAsia"/>
          <w:sz w:val="24"/>
          <w:szCs w:val="24"/>
          <w:lang w:eastAsia="zh-CN"/>
        </w:rPr>
        <w:t>从PMI数据可以看到供需两方面均出现一定放缓迹象，经济景气度边际回落，经济改善最快的阶段可能已经过去。当前基建、地产面临一定限制，外需不确定性加大，未来经济是否会持续显著超出潜在产出需要进一步跟踪验证。综合当前通胀和宏观杠杆率的情况下，货币政策整体收的方向仍不变，但力度可能相对中性。</w:t>
      </w:r>
    </w:p>
    <w:p w14:paraId="2C3F4BD1" w14:textId="0C304654"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1959A4">
        <w:rPr>
          <w:rFonts w:ascii="华文楷体" w:hAnsi="华文楷体" w:hint="eastAsia"/>
          <w:sz w:val="24"/>
          <w:szCs w:val="24"/>
          <w:lang w:eastAsia="zh-CN"/>
        </w:rPr>
        <w:t>伴随资金</w:t>
      </w:r>
      <w:proofErr w:type="gramStart"/>
      <w:r w:rsidR="001959A4">
        <w:rPr>
          <w:rFonts w:ascii="华文楷体" w:hAnsi="华文楷体" w:hint="eastAsia"/>
          <w:sz w:val="24"/>
          <w:szCs w:val="24"/>
          <w:lang w:eastAsia="zh-CN"/>
        </w:rPr>
        <w:t>面回归</w:t>
      </w:r>
      <w:proofErr w:type="gramEnd"/>
      <w:r w:rsidR="001959A4">
        <w:rPr>
          <w:rFonts w:ascii="华文楷体" w:hAnsi="华文楷体" w:hint="eastAsia"/>
          <w:sz w:val="24"/>
          <w:szCs w:val="24"/>
          <w:lang w:eastAsia="zh-CN"/>
        </w:rPr>
        <w:t>中枢，信用债短期内情绪尚可，但是市场仍关注后续信用风险持续暴露情况，流动性和信用溢价实际表现都相对较脆弱</w:t>
      </w:r>
      <w:r w:rsidR="00CD60AC" w:rsidRPr="00CD60AC">
        <w:rPr>
          <w:rFonts w:ascii="华文楷体" w:hAnsi="华文楷体" w:hint="eastAsia"/>
          <w:sz w:val="24"/>
          <w:szCs w:val="24"/>
          <w:lang w:eastAsia="zh-CN"/>
        </w:rPr>
        <w:t>。</w:t>
      </w:r>
    </w:p>
    <w:p w14:paraId="4C893BAE" w14:textId="62DD3698"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1959A4">
        <w:rPr>
          <w:rFonts w:ascii="华文楷体" w:hAnsi="华文楷体" w:hint="eastAsia"/>
          <w:sz w:val="24"/>
          <w:szCs w:val="24"/>
          <w:lang w:eastAsia="zh-CN"/>
        </w:rPr>
        <w:t>权益市场</w:t>
      </w:r>
      <w:r w:rsidR="001959A4" w:rsidRPr="001959A4">
        <w:rPr>
          <w:rFonts w:ascii="华文楷体" w:hAnsi="华文楷体" w:hint="eastAsia"/>
          <w:sz w:val="24"/>
          <w:szCs w:val="24"/>
          <w:lang w:eastAsia="zh-CN"/>
        </w:rPr>
        <w:t>节后归来调整较多，除前期消费、医药等板块外，上周大盘各主要指数也有不同程度回调，港股上调印花税对市场影响也是略偏负面，目前仍关注结构性的机会为主，如全球共振复苏下的化工、石油石化、有色</w:t>
      </w:r>
      <w:r w:rsidR="004B130D">
        <w:rPr>
          <w:rFonts w:ascii="华文楷体" w:hAnsi="华文楷体" w:hint="eastAsia"/>
          <w:sz w:val="24"/>
          <w:szCs w:val="24"/>
          <w:lang w:eastAsia="zh-CN"/>
        </w:rPr>
        <w:t>等板块；政策预期较高、长期</w:t>
      </w:r>
      <w:proofErr w:type="gramStart"/>
      <w:r w:rsidR="004B130D">
        <w:rPr>
          <w:rFonts w:ascii="华文楷体" w:hAnsi="华文楷体" w:hint="eastAsia"/>
          <w:sz w:val="24"/>
          <w:szCs w:val="24"/>
          <w:lang w:eastAsia="zh-CN"/>
        </w:rPr>
        <w:t>景气向</w:t>
      </w:r>
      <w:proofErr w:type="gramEnd"/>
      <w:r w:rsidR="004B130D">
        <w:rPr>
          <w:rFonts w:ascii="华文楷体" w:hAnsi="华文楷体" w:hint="eastAsia"/>
          <w:sz w:val="24"/>
          <w:szCs w:val="24"/>
          <w:lang w:eastAsia="zh-CN"/>
        </w:rPr>
        <w:t>好的新能源、半导体、军工板块等</w:t>
      </w:r>
      <w:r w:rsidR="00CD60AC" w:rsidRPr="00CD60A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118FD7C3" w:rsidR="001D35B3" w:rsidRPr="006A5F34" w:rsidRDefault="001D35B3" w:rsidP="006E5744">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CD60AC">
              <w:rPr>
                <w:rFonts w:hint="eastAsia"/>
              </w:rPr>
              <w:t>持续上行</w:t>
            </w:r>
          </w:p>
        </w:tc>
        <w:tc>
          <w:tcPr>
            <w:tcW w:w="4938" w:type="dxa"/>
            <w:vAlign w:val="center"/>
          </w:tcPr>
          <w:p w14:paraId="02A10F26" w14:textId="0E1AB2ED"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71175B">
              <w:rPr>
                <w:rFonts w:hint="eastAsia"/>
              </w:rPr>
              <w:t>适度下行</w:t>
            </w:r>
          </w:p>
        </w:tc>
      </w:tr>
      <w:tr w:rsidR="001D35B3" w:rsidRPr="006A5F34" w14:paraId="205667F1" w14:textId="77777777" w:rsidTr="0071175B">
        <w:tblPrEx>
          <w:tblCellMar>
            <w:left w:w="108" w:type="dxa"/>
            <w:right w:w="108" w:type="dxa"/>
          </w:tblCellMar>
        </w:tblPrEx>
        <w:trPr>
          <w:jc w:val="center"/>
        </w:trPr>
        <w:tc>
          <w:tcPr>
            <w:tcW w:w="4939" w:type="dxa"/>
            <w:vAlign w:val="center"/>
          </w:tcPr>
          <w:p w14:paraId="56C782C2" w14:textId="1F505E5D" w:rsidR="001D35B3" w:rsidRPr="007E0340" w:rsidRDefault="0071175B" w:rsidP="009A2BA0">
            <w:pPr>
              <w:jc w:val="center"/>
              <w:rPr>
                <w:noProof/>
              </w:rPr>
            </w:pPr>
            <w:r>
              <w:rPr>
                <w:noProof/>
              </w:rPr>
              <w:drawing>
                <wp:inline distT="0" distB="0" distL="0" distR="0" wp14:anchorId="6940E68E" wp14:editId="1A25A5E8">
                  <wp:extent cx="2947182" cy="1953895"/>
                  <wp:effectExtent l="0" t="0" r="5715" b="8255"/>
                  <wp:docPr id="12" name="图表 1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68F59E2D" w:rsidR="001D35B3" w:rsidRPr="007E0340" w:rsidRDefault="0071175B" w:rsidP="009A2BA0">
            <w:pPr>
              <w:jc w:val="center"/>
              <w:rPr>
                <w:noProof/>
                <w:szCs w:val="18"/>
              </w:rPr>
            </w:pPr>
            <w:r>
              <w:rPr>
                <w:noProof/>
              </w:rPr>
              <w:drawing>
                <wp:inline distT="0" distB="0" distL="0" distR="0" wp14:anchorId="31C21A36" wp14:editId="315A8455">
                  <wp:extent cx="2998470" cy="1954090"/>
                  <wp:effectExtent l="0" t="0" r="0" b="8255"/>
                  <wp:docPr id="13" name="图表 1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45CA0782"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BD5202">
              <w:rPr>
                <w:rFonts w:hint="eastAsia"/>
              </w:rPr>
              <w:t>低位震荡</w:t>
            </w:r>
          </w:p>
        </w:tc>
        <w:tc>
          <w:tcPr>
            <w:tcW w:w="4938" w:type="dxa"/>
            <w:vAlign w:val="center"/>
          </w:tcPr>
          <w:p w14:paraId="07575C0F" w14:textId="1734BF4A"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3300DB">
              <w:rPr>
                <w:rFonts w:hint="eastAsia"/>
              </w:rPr>
              <w:t>出现回落</w:t>
            </w:r>
          </w:p>
        </w:tc>
      </w:tr>
      <w:tr w:rsidR="001D35B3" w:rsidRPr="006A5F34" w14:paraId="49BBD33E" w14:textId="77777777" w:rsidTr="0071175B">
        <w:tblPrEx>
          <w:tblCellMar>
            <w:left w:w="108" w:type="dxa"/>
            <w:right w:w="108" w:type="dxa"/>
          </w:tblCellMar>
        </w:tblPrEx>
        <w:trPr>
          <w:trHeight w:val="2987"/>
          <w:jc w:val="center"/>
        </w:trPr>
        <w:tc>
          <w:tcPr>
            <w:tcW w:w="4939" w:type="dxa"/>
            <w:vAlign w:val="center"/>
          </w:tcPr>
          <w:p w14:paraId="0BAC1731" w14:textId="441BF2EA" w:rsidR="001D35B3" w:rsidRPr="007E0340" w:rsidRDefault="0071175B" w:rsidP="009A2BA0">
            <w:pPr>
              <w:jc w:val="center"/>
              <w:rPr>
                <w:noProof/>
              </w:rPr>
            </w:pPr>
            <w:r>
              <w:rPr>
                <w:noProof/>
              </w:rPr>
              <w:drawing>
                <wp:inline distT="0" distB="0" distL="0" distR="0" wp14:anchorId="7F42C58F" wp14:editId="78937C8E">
                  <wp:extent cx="3101340" cy="1948815"/>
                  <wp:effectExtent l="0" t="0" r="3810" b="0"/>
                  <wp:docPr id="14" name="图表 1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04670C94" w:rsidR="001D35B3" w:rsidRPr="007E0340" w:rsidRDefault="0071175B" w:rsidP="009A2BA0">
            <w:pPr>
              <w:jc w:val="center"/>
              <w:rPr>
                <w:noProof/>
                <w:szCs w:val="18"/>
              </w:rPr>
            </w:pPr>
            <w:r>
              <w:rPr>
                <w:noProof/>
              </w:rPr>
              <w:drawing>
                <wp:inline distT="0" distB="0" distL="0" distR="0" wp14:anchorId="005A4843" wp14:editId="4D1E3EF5">
                  <wp:extent cx="2998470" cy="1955605"/>
                  <wp:effectExtent l="0" t="0" r="0" b="6985"/>
                  <wp:docPr id="15" name="图表 15">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68DA1F15" w14:textId="77777777" w:rsidR="004B130D" w:rsidRPr="001B6C0F" w:rsidRDefault="004B130D" w:rsidP="004B130D">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微软雅黑" w:eastAsia="微软雅黑" w:hAnsi="微软雅黑" w:hint="eastAsia"/>
          <w:color w:val="474747"/>
          <w:shd w:val="clear" w:color="auto" w:fill="FFFFFF"/>
        </w:rPr>
        <w:t>作出</w:t>
      </w:r>
      <w:proofErr w:type="gramEnd"/>
      <w:r>
        <w:rPr>
          <w:rFonts w:ascii="微软雅黑" w:eastAsia="微软雅黑" w:hAnsi="微软雅黑" w:hint="eastAsia"/>
          <w:color w:val="474747"/>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3CEBA6" w14:textId="77777777" w:rsidR="00093B9C" w:rsidRDefault="00093B9C">
      <w:r>
        <w:separator/>
      </w:r>
    </w:p>
  </w:endnote>
  <w:endnote w:type="continuationSeparator" w:id="0">
    <w:p w14:paraId="05A35815" w14:textId="77777777" w:rsidR="00093B9C" w:rsidRDefault="0009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CA1B69" w:rsidRDefault="00CA1B69">
        <w:pPr>
          <w:pStyle w:val="a4"/>
          <w:jc w:val="right"/>
        </w:pPr>
        <w:r>
          <w:fldChar w:fldCharType="begin"/>
        </w:r>
        <w:r>
          <w:instrText>PAGE   \* MERGEFORMAT</w:instrText>
        </w:r>
        <w:r>
          <w:fldChar w:fldCharType="separate"/>
        </w:r>
        <w:r w:rsidR="004B130D" w:rsidRPr="004B130D">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3821E1" w14:textId="77777777" w:rsidR="00093B9C" w:rsidRDefault="00093B9C">
      <w:r>
        <w:separator/>
      </w:r>
    </w:p>
  </w:footnote>
  <w:footnote w:type="continuationSeparator" w:id="0">
    <w:p w14:paraId="03516285" w14:textId="77777777" w:rsidR="00093B9C" w:rsidRDefault="00093B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CA1B69" w:rsidRDefault="00CA1B69"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3B9C"/>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AF"/>
    <w:rsid w:val="00337BF7"/>
    <w:rsid w:val="00337FC0"/>
    <w:rsid w:val="003401AF"/>
    <w:rsid w:val="003401E6"/>
    <w:rsid w:val="00340776"/>
    <w:rsid w:val="003409B2"/>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30D"/>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DA6"/>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01"/>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44099</c:v>
                </c:pt>
                <c:pt idx="1">
                  <c:v>44106</c:v>
                </c:pt>
                <c:pt idx="2">
                  <c:v>44113</c:v>
                </c:pt>
                <c:pt idx="3">
                  <c:v>44120</c:v>
                </c:pt>
                <c:pt idx="4">
                  <c:v>44127</c:v>
                </c:pt>
                <c:pt idx="5">
                  <c:v>44134</c:v>
                </c:pt>
                <c:pt idx="6">
                  <c:v>44141</c:v>
                </c:pt>
                <c:pt idx="7">
                  <c:v>44148</c:v>
                </c:pt>
                <c:pt idx="8">
                  <c:v>44155</c:v>
                </c:pt>
                <c:pt idx="9">
                  <c:v>44162</c:v>
                </c:pt>
                <c:pt idx="10">
                  <c:v>44169</c:v>
                </c:pt>
                <c:pt idx="11">
                  <c:v>44176</c:v>
                </c:pt>
                <c:pt idx="12">
                  <c:v>44183</c:v>
                </c:pt>
                <c:pt idx="13">
                  <c:v>44190</c:v>
                </c:pt>
                <c:pt idx="14">
                  <c:v>44197</c:v>
                </c:pt>
                <c:pt idx="15">
                  <c:v>44204</c:v>
                </c:pt>
                <c:pt idx="16">
                  <c:v>44211</c:v>
                </c:pt>
                <c:pt idx="17">
                  <c:v>44218</c:v>
                </c:pt>
                <c:pt idx="18">
                  <c:v>44225</c:v>
                </c:pt>
                <c:pt idx="19">
                  <c:v>44232</c:v>
                </c:pt>
                <c:pt idx="20">
                  <c:v>44239</c:v>
                </c:pt>
                <c:pt idx="21">
                  <c:v>44246</c:v>
                </c:pt>
                <c:pt idx="22">
                  <c:v>44253</c:v>
                </c:pt>
              </c:numCache>
            </c:numRef>
          </c:cat>
          <c:val>
            <c:numRef>
              <c:f>央行!$B$5:$B$27</c:f>
              <c:numCache>
                <c:formatCode>###,###,###,###,##0.00</c:formatCode>
                <c:ptCount val="23"/>
                <c:pt idx="0">
                  <c:v>9000</c:v>
                </c:pt>
                <c:pt idx="1">
                  <c:v>2150</c:v>
                </c:pt>
                <c:pt idx="2">
                  <c:v>0</c:v>
                </c:pt>
                <c:pt idx="3">
                  <c:v>1000</c:v>
                </c:pt>
                <c:pt idx="4">
                  <c:v>3200</c:v>
                </c:pt>
                <c:pt idx="5">
                  <c:v>5150</c:v>
                </c:pt>
                <c:pt idx="6">
                  <c:v>3200</c:v>
                </c:pt>
                <c:pt idx="7">
                  <c:v>5500</c:v>
                </c:pt>
                <c:pt idx="8">
                  <c:v>3000</c:v>
                </c:pt>
                <c:pt idx="9">
                  <c:v>4350</c:v>
                </c:pt>
                <c:pt idx="10">
                  <c:v>2000</c:v>
                </c:pt>
                <c:pt idx="11">
                  <c:v>1500</c:v>
                </c:pt>
                <c:pt idx="12">
                  <c:v>600</c:v>
                </c:pt>
                <c:pt idx="13">
                  <c:v>4300</c:v>
                </c:pt>
                <c:pt idx="14">
                  <c:v>1750</c:v>
                </c:pt>
                <c:pt idx="15">
                  <c:v>550</c:v>
                </c:pt>
                <c:pt idx="16">
                  <c:v>160</c:v>
                </c:pt>
                <c:pt idx="17">
                  <c:v>6140</c:v>
                </c:pt>
                <c:pt idx="18">
                  <c:v>3890</c:v>
                </c:pt>
                <c:pt idx="19">
                  <c:v>4800</c:v>
                </c:pt>
                <c:pt idx="20">
                  <c:v>2300</c:v>
                </c:pt>
                <c:pt idx="21">
                  <c:v>400</c:v>
                </c:pt>
                <c:pt idx="22">
                  <c:v>800</c:v>
                </c:pt>
              </c:numCache>
            </c:numRef>
          </c:val>
          <c:extLst xmlns:c16r2="http://schemas.microsoft.com/office/drawing/2015/06/chart">
            <c:ext xmlns:c16="http://schemas.microsoft.com/office/drawing/2014/chart" uri="{C3380CC4-5D6E-409C-BE32-E72D297353CC}">
              <c16:uniqueId val="{00000000-4263-4E16-BE37-036505EDD99C}"/>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44099</c:v>
                </c:pt>
                <c:pt idx="1">
                  <c:v>44106</c:v>
                </c:pt>
                <c:pt idx="2">
                  <c:v>44113</c:v>
                </c:pt>
                <c:pt idx="3">
                  <c:v>44120</c:v>
                </c:pt>
                <c:pt idx="4">
                  <c:v>44127</c:v>
                </c:pt>
                <c:pt idx="5">
                  <c:v>44134</c:v>
                </c:pt>
                <c:pt idx="6">
                  <c:v>44141</c:v>
                </c:pt>
                <c:pt idx="7">
                  <c:v>44148</c:v>
                </c:pt>
                <c:pt idx="8">
                  <c:v>44155</c:v>
                </c:pt>
                <c:pt idx="9">
                  <c:v>44162</c:v>
                </c:pt>
                <c:pt idx="10">
                  <c:v>44169</c:v>
                </c:pt>
                <c:pt idx="11">
                  <c:v>44176</c:v>
                </c:pt>
                <c:pt idx="12">
                  <c:v>44183</c:v>
                </c:pt>
                <c:pt idx="13">
                  <c:v>44190</c:v>
                </c:pt>
                <c:pt idx="14">
                  <c:v>44197</c:v>
                </c:pt>
                <c:pt idx="15">
                  <c:v>44204</c:v>
                </c:pt>
                <c:pt idx="16">
                  <c:v>44211</c:v>
                </c:pt>
                <c:pt idx="17">
                  <c:v>44218</c:v>
                </c:pt>
                <c:pt idx="18">
                  <c:v>44225</c:v>
                </c:pt>
                <c:pt idx="19">
                  <c:v>44232</c:v>
                </c:pt>
                <c:pt idx="20">
                  <c:v>44239</c:v>
                </c:pt>
                <c:pt idx="21">
                  <c:v>44246</c:v>
                </c:pt>
                <c:pt idx="22">
                  <c:v>44253</c:v>
                </c:pt>
              </c:numCache>
            </c:numRef>
          </c:cat>
          <c:val>
            <c:numRef>
              <c:f>央行!$C$5:$C$27</c:f>
              <c:numCache>
                <c:formatCode>###,###,###,###,##0.00</c:formatCode>
                <c:ptCount val="23"/>
                <c:pt idx="0">
                  <c:v>-4200</c:v>
                </c:pt>
                <c:pt idx="1">
                  <c:v>-4650</c:v>
                </c:pt>
                <c:pt idx="2">
                  <c:v>-5000</c:v>
                </c:pt>
                <c:pt idx="3">
                  <c:v>-2100</c:v>
                </c:pt>
                <c:pt idx="4">
                  <c:v>-1000</c:v>
                </c:pt>
                <c:pt idx="5">
                  <c:v>-3250</c:v>
                </c:pt>
                <c:pt idx="6">
                  <c:v>-5100</c:v>
                </c:pt>
                <c:pt idx="7">
                  <c:v>-3200</c:v>
                </c:pt>
                <c:pt idx="8">
                  <c:v>-5500</c:v>
                </c:pt>
                <c:pt idx="9">
                  <c:v>-3050</c:v>
                </c:pt>
                <c:pt idx="10">
                  <c:v>-4300</c:v>
                </c:pt>
                <c:pt idx="11">
                  <c:v>-2000</c:v>
                </c:pt>
                <c:pt idx="12">
                  <c:v>-1500</c:v>
                </c:pt>
                <c:pt idx="13">
                  <c:v>-650</c:v>
                </c:pt>
                <c:pt idx="14">
                  <c:v>-800</c:v>
                </c:pt>
                <c:pt idx="15">
                  <c:v>-5200</c:v>
                </c:pt>
                <c:pt idx="16">
                  <c:v>-550</c:v>
                </c:pt>
                <c:pt idx="17">
                  <c:v>-160</c:v>
                </c:pt>
                <c:pt idx="18">
                  <c:v>-6190</c:v>
                </c:pt>
                <c:pt idx="19">
                  <c:v>-3840</c:v>
                </c:pt>
                <c:pt idx="20">
                  <c:v>-2800</c:v>
                </c:pt>
                <c:pt idx="21">
                  <c:v>-3800</c:v>
                </c:pt>
                <c:pt idx="22">
                  <c:v>-950</c:v>
                </c:pt>
              </c:numCache>
            </c:numRef>
          </c:val>
          <c:extLst xmlns:c16r2="http://schemas.microsoft.com/office/drawing/2015/06/chart">
            <c:ext xmlns:c16="http://schemas.microsoft.com/office/drawing/2014/chart" uri="{C3380CC4-5D6E-409C-BE32-E72D297353CC}">
              <c16:uniqueId val="{00000001-4263-4E16-BE37-036505EDD99C}"/>
            </c:ext>
          </c:extLst>
        </c:ser>
        <c:dLbls>
          <c:showLegendKey val="0"/>
          <c:showVal val="0"/>
          <c:showCatName val="0"/>
          <c:showSerName val="0"/>
          <c:showPercent val="0"/>
          <c:showBubbleSize val="0"/>
        </c:dLbls>
        <c:gapWidth val="150"/>
        <c:overlap val="100"/>
        <c:axId val="441677696"/>
        <c:axId val="441679872"/>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44099</c:v>
                </c:pt>
                <c:pt idx="1">
                  <c:v>44106</c:v>
                </c:pt>
                <c:pt idx="2">
                  <c:v>44113</c:v>
                </c:pt>
                <c:pt idx="3">
                  <c:v>44120</c:v>
                </c:pt>
                <c:pt idx="4">
                  <c:v>44127</c:v>
                </c:pt>
                <c:pt idx="5">
                  <c:v>44134</c:v>
                </c:pt>
                <c:pt idx="6">
                  <c:v>44141</c:v>
                </c:pt>
                <c:pt idx="7">
                  <c:v>44148</c:v>
                </c:pt>
                <c:pt idx="8">
                  <c:v>44155</c:v>
                </c:pt>
                <c:pt idx="9">
                  <c:v>44162</c:v>
                </c:pt>
                <c:pt idx="10">
                  <c:v>44169</c:v>
                </c:pt>
                <c:pt idx="11">
                  <c:v>44176</c:v>
                </c:pt>
                <c:pt idx="12">
                  <c:v>44183</c:v>
                </c:pt>
                <c:pt idx="13">
                  <c:v>44190</c:v>
                </c:pt>
                <c:pt idx="14">
                  <c:v>44197</c:v>
                </c:pt>
                <c:pt idx="15">
                  <c:v>44204</c:v>
                </c:pt>
                <c:pt idx="16">
                  <c:v>44211</c:v>
                </c:pt>
                <c:pt idx="17">
                  <c:v>44218</c:v>
                </c:pt>
                <c:pt idx="18">
                  <c:v>44225</c:v>
                </c:pt>
                <c:pt idx="19">
                  <c:v>44232</c:v>
                </c:pt>
                <c:pt idx="20">
                  <c:v>44239</c:v>
                </c:pt>
                <c:pt idx="21">
                  <c:v>44246</c:v>
                </c:pt>
                <c:pt idx="22">
                  <c:v>44253</c:v>
                </c:pt>
              </c:numCache>
            </c:numRef>
          </c:cat>
          <c:val>
            <c:numRef>
              <c:f>央行!$D$5:$D$27</c:f>
              <c:numCache>
                <c:formatCode>###,###,###,###,##0.00</c:formatCode>
                <c:ptCount val="23"/>
                <c:pt idx="0">
                  <c:v>4800</c:v>
                </c:pt>
                <c:pt idx="1">
                  <c:v>-2500</c:v>
                </c:pt>
                <c:pt idx="2">
                  <c:v>-5000</c:v>
                </c:pt>
                <c:pt idx="3">
                  <c:v>-1100</c:v>
                </c:pt>
                <c:pt idx="4">
                  <c:v>2200</c:v>
                </c:pt>
                <c:pt idx="5">
                  <c:v>1900</c:v>
                </c:pt>
                <c:pt idx="6">
                  <c:v>-1900</c:v>
                </c:pt>
                <c:pt idx="7">
                  <c:v>2300</c:v>
                </c:pt>
                <c:pt idx="8">
                  <c:v>-2500</c:v>
                </c:pt>
                <c:pt idx="9">
                  <c:v>1300</c:v>
                </c:pt>
                <c:pt idx="10">
                  <c:v>-2300</c:v>
                </c:pt>
                <c:pt idx="11">
                  <c:v>-500</c:v>
                </c:pt>
                <c:pt idx="12">
                  <c:v>-900</c:v>
                </c:pt>
                <c:pt idx="13">
                  <c:v>3650</c:v>
                </c:pt>
                <c:pt idx="14">
                  <c:v>950</c:v>
                </c:pt>
                <c:pt idx="15">
                  <c:v>-4650</c:v>
                </c:pt>
                <c:pt idx="16">
                  <c:v>-390</c:v>
                </c:pt>
                <c:pt idx="17">
                  <c:v>5980</c:v>
                </c:pt>
                <c:pt idx="18">
                  <c:v>-2300</c:v>
                </c:pt>
                <c:pt idx="19">
                  <c:v>960</c:v>
                </c:pt>
                <c:pt idx="20">
                  <c:v>-500</c:v>
                </c:pt>
                <c:pt idx="21">
                  <c:v>-3400</c:v>
                </c:pt>
                <c:pt idx="22">
                  <c:v>-150</c:v>
                </c:pt>
              </c:numCache>
            </c:numRef>
          </c:val>
          <c:smooth val="0"/>
          <c:extLst xmlns:c16r2="http://schemas.microsoft.com/office/drawing/2015/06/chart">
            <c:ext xmlns:c16="http://schemas.microsoft.com/office/drawing/2014/chart" uri="{C3380CC4-5D6E-409C-BE32-E72D297353CC}">
              <c16:uniqueId val="{00000002-4263-4E16-BE37-036505EDD99C}"/>
            </c:ext>
          </c:extLst>
        </c:ser>
        <c:dLbls>
          <c:showLegendKey val="0"/>
          <c:showVal val="0"/>
          <c:showCatName val="0"/>
          <c:showSerName val="0"/>
          <c:showPercent val="0"/>
          <c:showBubbleSize val="0"/>
        </c:dLbls>
        <c:marker val="1"/>
        <c:smooth val="0"/>
        <c:axId val="441677696"/>
        <c:axId val="441679872"/>
      </c:lineChart>
      <c:catAx>
        <c:axId val="44167769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1679872"/>
        <c:crosses val="autoZero"/>
        <c:auto val="0"/>
        <c:lblAlgn val="ctr"/>
        <c:lblOffset val="0"/>
        <c:tickMarkSkip val="2"/>
        <c:noMultiLvlLbl val="0"/>
      </c:catAx>
      <c:valAx>
        <c:axId val="44167987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1677696"/>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069733761681379"/>
          <c:h val="0.78082910090784108"/>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44253</c:v>
                </c:pt>
                <c:pt idx="1">
                  <c:v>44252</c:v>
                </c:pt>
                <c:pt idx="2">
                  <c:v>44251</c:v>
                </c:pt>
                <c:pt idx="3">
                  <c:v>44250</c:v>
                </c:pt>
                <c:pt idx="4">
                  <c:v>44249</c:v>
                </c:pt>
                <c:pt idx="5">
                  <c:v>44247</c:v>
                </c:pt>
                <c:pt idx="6">
                  <c:v>44246</c:v>
                </c:pt>
                <c:pt idx="7">
                  <c:v>44245</c:v>
                </c:pt>
                <c:pt idx="8">
                  <c:v>44237</c:v>
                </c:pt>
                <c:pt idx="9">
                  <c:v>44236</c:v>
                </c:pt>
                <c:pt idx="10">
                  <c:v>44235</c:v>
                </c:pt>
                <c:pt idx="11">
                  <c:v>44234</c:v>
                </c:pt>
                <c:pt idx="12">
                  <c:v>44232</c:v>
                </c:pt>
                <c:pt idx="13">
                  <c:v>44231</c:v>
                </c:pt>
                <c:pt idx="14">
                  <c:v>44230</c:v>
                </c:pt>
                <c:pt idx="15">
                  <c:v>44229</c:v>
                </c:pt>
                <c:pt idx="16">
                  <c:v>44228</c:v>
                </c:pt>
                <c:pt idx="17">
                  <c:v>44225</c:v>
                </c:pt>
                <c:pt idx="18">
                  <c:v>44224</c:v>
                </c:pt>
                <c:pt idx="19">
                  <c:v>44223</c:v>
                </c:pt>
                <c:pt idx="20">
                  <c:v>44222</c:v>
                </c:pt>
                <c:pt idx="21">
                  <c:v>44221</c:v>
                </c:pt>
                <c:pt idx="22">
                  <c:v>44218</c:v>
                </c:pt>
                <c:pt idx="23">
                  <c:v>44217</c:v>
                </c:pt>
                <c:pt idx="24">
                  <c:v>44216</c:v>
                </c:pt>
                <c:pt idx="25">
                  <c:v>44215</c:v>
                </c:pt>
                <c:pt idx="26">
                  <c:v>44214</c:v>
                </c:pt>
                <c:pt idx="27">
                  <c:v>44211</c:v>
                </c:pt>
                <c:pt idx="28">
                  <c:v>44210</c:v>
                </c:pt>
                <c:pt idx="29">
                  <c:v>44209</c:v>
                </c:pt>
                <c:pt idx="30">
                  <c:v>44208</c:v>
                </c:pt>
                <c:pt idx="31">
                  <c:v>44207</c:v>
                </c:pt>
                <c:pt idx="32">
                  <c:v>44204</c:v>
                </c:pt>
                <c:pt idx="33">
                  <c:v>44203</c:v>
                </c:pt>
                <c:pt idx="34">
                  <c:v>44202</c:v>
                </c:pt>
                <c:pt idx="35">
                  <c:v>44201</c:v>
                </c:pt>
                <c:pt idx="36">
                  <c:v>44200</c:v>
                </c:pt>
                <c:pt idx="37">
                  <c:v>44196</c:v>
                </c:pt>
                <c:pt idx="38">
                  <c:v>44195</c:v>
                </c:pt>
                <c:pt idx="39">
                  <c:v>44194</c:v>
                </c:pt>
                <c:pt idx="40">
                  <c:v>44193</c:v>
                </c:pt>
                <c:pt idx="41">
                  <c:v>44190</c:v>
                </c:pt>
                <c:pt idx="42">
                  <c:v>44189</c:v>
                </c:pt>
                <c:pt idx="43">
                  <c:v>44188</c:v>
                </c:pt>
                <c:pt idx="44">
                  <c:v>44187</c:v>
                </c:pt>
                <c:pt idx="45">
                  <c:v>44186</c:v>
                </c:pt>
                <c:pt idx="46">
                  <c:v>44183</c:v>
                </c:pt>
                <c:pt idx="47">
                  <c:v>44182</c:v>
                </c:pt>
                <c:pt idx="48">
                  <c:v>44181</c:v>
                </c:pt>
                <c:pt idx="49">
                  <c:v>44180</c:v>
                </c:pt>
                <c:pt idx="50">
                  <c:v>44179</c:v>
                </c:pt>
                <c:pt idx="51">
                  <c:v>44176</c:v>
                </c:pt>
                <c:pt idx="52">
                  <c:v>44175</c:v>
                </c:pt>
                <c:pt idx="53">
                  <c:v>44174</c:v>
                </c:pt>
                <c:pt idx="54">
                  <c:v>44173</c:v>
                </c:pt>
                <c:pt idx="55">
                  <c:v>44172</c:v>
                </c:pt>
                <c:pt idx="56">
                  <c:v>44169</c:v>
                </c:pt>
                <c:pt idx="57">
                  <c:v>44168</c:v>
                </c:pt>
                <c:pt idx="58">
                  <c:v>44167</c:v>
                </c:pt>
              </c:numCache>
            </c:numRef>
          </c:cat>
          <c:val>
            <c:numRef>
              <c:f>资金!$B$3:$B$61</c:f>
              <c:numCache>
                <c:formatCode>###,###,###,###,##0.0000</c:formatCode>
                <c:ptCount val="59"/>
                <c:pt idx="0">
                  <c:v>2.2122000000000002</c:v>
                </c:pt>
                <c:pt idx="1">
                  <c:v>1.7466999999999999</c:v>
                </c:pt>
                <c:pt idx="2">
                  <c:v>1.5522</c:v>
                </c:pt>
                <c:pt idx="3">
                  <c:v>1.9908999999999999</c:v>
                </c:pt>
                <c:pt idx="4">
                  <c:v>1.5585</c:v>
                </c:pt>
                <c:pt idx="5">
                  <c:v>1.4419</c:v>
                </c:pt>
                <c:pt idx="6">
                  <c:v>1.8237000000000001</c:v>
                </c:pt>
                <c:pt idx="7">
                  <c:v>2.3538999999999999</c:v>
                </c:pt>
                <c:pt idx="8">
                  <c:v>1.8607</c:v>
                </c:pt>
                <c:pt idx="9">
                  <c:v>1.7911999999999999</c:v>
                </c:pt>
                <c:pt idx="10">
                  <c:v>1.9377</c:v>
                </c:pt>
                <c:pt idx="11">
                  <c:v>1.5358000000000001</c:v>
                </c:pt>
                <c:pt idx="12">
                  <c:v>1.8911</c:v>
                </c:pt>
                <c:pt idx="13">
                  <c:v>2.1088</c:v>
                </c:pt>
                <c:pt idx="14">
                  <c:v>1.9271</c:v>
                </c:pt>
                <c:pt idx="15">
                  <c:v>2.2991999999999999</c:v>
                </c:pt>
                <c:pt idx="16">
                  <c:v>3.0550999999999999</c:v>
                </c:pt>
                <c:pt idx="17">
                  <c:v>6.5883000000000003</c:v>
                </c:pt>
                <c:pt idx="18">
                  <c:v>4.2148000000000003</c:v>
                </c:pt>
                <c:pt idx="19">
                  <c:v>3.5893999999999999</c:v>
                </c:pt>
                <c:pt idx="20">
                  <c:v>3.1797</c:v>
                </c:pt>
                <c:pt idx="21">
                  <c:v>2.6110000000000002</c:v>
                </c:pt>
                <c:pt idx="22">
                  <c:v>2.5579000000000001</c:v>
                </c:pt>
                <c:pt idx="23">
                  <c:v>2.7303000000000002</c:v>
                </c:pt>
                <c:pt idx="24">
                  <c:v>2.6476999999999999</c:v>
                </c:pt>
                <c:pt idx="25">
                  <c:v>2.4173</c:v>
                </c:pt>
                <c:pt idx="26">
                  <c:v>2.2145999999999999</c:v>
                </c:pt>
                <c:pt idx="27">
                  <c:v>1.81</c:v>
                </c:pt>
                <c:pt idx="28">
                  <c:v>1.7403999999999999</c:v>
                </c:pt>
                <c:pt idx="29">
                  <c:v>1.466</c:v>
                </c:pt>
                <c:pt idx="30">
                  <c:v>1.4098999999999999</c:v>
                </c:pt>
                <c:pt idx="31">
                  <c:v>1.2854000000000001</c:v>
                </c:pt>
                <c:pt idx="32">
                  <c:v>1.0166999999999999</c:v>
                </c:pt>
                <c:pt idx="33">
                  <c:v>0.99309999999999998</c:v>
                </c:pt>
                <c:pt idx="34">
                  <c:v>0.69089999999999996</c:v>
                </c:pt>
                <c:pt idx="35">
                  <c:v>0.80669999999999997</c:v>
                </c:pt>
                <c:pt idx="36">
                  <c:v>0.96089999999999998</c:v>
                </c:pt>
                <c:pt idx="37">
                  <c:v>1.4548000000000001</c:v>
                </c:pt>
                <c:pt idx="38">
                  <c:v>0.7712</c:v>
                </c:pt>
                <c:pt idx="39">
                  <c:v>0.71660000000000001</c:v>
                </c:pt>
                <c:pt idx="40">
                  <c:v>0.74880000000000002</c:v>
                </c:pt>
                <c:pt idx="41">
                  <c:v>0.86060000000000003</c:v>
                </c:pt>
                <c:pt idx="42">
                  <c:v>0.69410000000000005</c:v>
                </c:pt>
                <c:pt idx="43">
                  <c:v>0.68979999999999997</c:v>
                </c:pt>
                <c:pt idx="44">
                  <c:v>1.0650999999999999</c:v>
                </c:pt>
                <c:pt idx="45">
                  <c:v>1.5268999999999999</c:v>
                </c:pt>
                <c:pt idx="46">
                  <c:v>1.7833000000000001</c:v>
                </c:pt>
                <c:pt idx="47">
                  <c:v>1.4323999999999999</c:v>
                </c:pt>
                <c:pt idx="48">
                  <c:v>1.0374000000000001</c:v>
                </c:pt>
                <c:pt idx="49">
                  <c:v>1.4353</c:v>
                </c:pt>
                <c:pt idx="50">
                  <c:v>1.7574000000000001</c:v>
                </c:pt>
                <c:pt idx="51">
                  <c:v>1.5121</c:v>
                </c:pt>
                <c:pt idx="52">
                  <c:v>1.0599000000000001</c:v>
                </c:pt>
                <c:pt idx="53">
                  <c:v>1.1145</c:v>
                </c:pt>
                <c:pt idx="54">
                  <c:v>1.3402000000000001</c:v>
                </c:pt>
                <c:pt idx="55">
                  <c:v>1.4177</c:v>
                </c:pt>
                <c:pt idx="56">
                  <c:v>1.147</c:v>
                </c:pt>
                <c:pt idx="57">
                  <c:v>0.97250000000000003</c:v>
                </c:pt>
                <c:pt idx="58">
                  <c:v>0.81740000000000002</c:v>
                </c:pt>
              </c:numCache>
            </c:numRef>
          </c:val>
          <c:smooth val="1"/>
          <c:extLst xmlns:c16r2="http://schemas.microsoft.com/office/drawing/2015/06/chart">
            <c:ext xmlns:c16="http://schemas.microsoft.com/office/drawing/2014/chart" uri="{C3380CC4-5D6E-409C-BE32-E72D297353CC}">
              <c16:uniqueId val="{00000000-8715-46EB-A08B-EE4B66CBC6C1}"/>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44253</c:v>
                </c:pt>
                <c:pt idx="1">
                  <c:v>44252</c:v>
                </c:pt>
                <c:pt idx="2">
                  <c:v>44251</c:v>
                </c:pt>
                <c:pt idx="3">
                  <c:v>44250</c:v>
                </c:pt>
                <c:pt idx="4">
                  <c:v>44249</c:v>
                </c:pt>
                <c:pt idx="5">
                  <c:v>44247</c:v>
                </c:pt>
                <c:pt idx="6">
                  <c:v>44246</c:v>
                </c:pt>
                <c:pt idx="7">
                  <c:v>44245</c:v>
                </c:pt>
                <c:pt idx="8">
                  <c:v>44237</c:v>
                </c:pt>
                <c:pt idx="9">
                  <c:v>44236</c:v>
                </c:pt>
                <c:pt idx="10">
                  <c:v>44235</c:v>
                </c:pt>
                <c:pt idx="11">
                  <c:v>44234</c:v>
                </c:pt>
                <c:pt idx="12">
                  <c:v>44232</c:v>
                </c:pt>
                <c:pt idx="13">
                  <c:v>44231</c:v>
                </c:pt>
                <c:pt idx="14">
                  <c:v>44230</c:v>
                </c:pt>
                <c:pt idx="15">
                  <c:v>44229</c:v>
                </c:pt>
                <c:pt idx="16">
                  <c:v>44228</c:v>
                </c:pt>
                <c:pt idx="17">
                  <c:v>44225</c:v>
                </c:pt>
                <c:pt idx="18">
                  <c:v>44224</c:v>
                </c:pt>
                <c:pt idx="19">
                  <c:v>44223</c:v>
                </c:pt>
                <c:pt idx="20">
                  <c:v>44222</c:v>
                </c:pt>
                <c:pt idx="21">
                  <c:v>44221</c:v>
                </c:pt>
                <c:pt idx="22">
                  <c:v>44218</c:v>
                </c:pt>
                <c:pt idx="23">
                  <c:v>44217</c:v>
                </c:pt>
                <c:pt idx="24">
                  <c:v>44216</c:v>
                </c:pt>
                <c:pt idx="25">
                  <c:v>44215</c:v>
                </c:pt>
                <c:pt idx="26">
                  <c:v>44214</c:v>
                </c:pt>
                <c:pt idx="27">
                  <c:v>44211</c:v>
                </c:pt>
                <c:pt idx="28">
                  <c:v>44210</c:v>
                </c:pt>
                <c:pt idx="29">
                  <c:v>44209</c:v>
                </c:pt>
                <c:pt idx="30">
                  <c:v>44208</c:v>
                </c:pt>
                <c:pt idx="31">
                  <c:v>44207</c:v>
                </c:pt>
                <c:pt idx="32">
                  <c:v>44204</c:v>
                </c:pt>
                <c:pt idx="33">
                  <c:v>44203</c:v>
                </c:pt>
                <c:pt idx="34">
                  <c:v>44202</c:v>
                </c:pt>
                <c:pt idx="35">
                  <c:v>44201</c:v>
                </c:pt>
                <c:pt idx="36">
                  <c:v>44200</c:v>
                </c:pt>
                <c:pt idx="37">
                  <c:v>44196</c:v>
                </c:pt>
                <c:pt idx="38">
                  <c:v>44195</c:v>
                </c:pt>
                <c:pt idx="39">
                  <c:v>44194</c:v>
                </c:pt>
                <c:pt idx="40">
                  <c:v>44193</c:v>
                </c:pt>
                <c:pt idx="41">
                  <c:v>44190</c:v>
                </c:pt>
                <c:pt idx="42">
                  <c:v>44189</c:v>
                </c:pt>
                <c:pt idx="43">
                  <c:v>44188</c:v>
                </c:pt>
                <c:pt idx="44">
                  <c:v>44187</c:v>
                </c:pt>
                <c:pt idx="45">
                  <c:v>44186</c:v>
                </c:pt>
                <c:pt idx="46">
                  <c:v>44183</c:v>
                </c:pt>
                <c:pt idx="47">
                  <c:v>44182</c:v>
                </c:pt>
                <c:pt idx="48">
                  <c:v>44181</c:v>
                </c:pt>
                <c:pt idx="49">
                  <c:v>44180</c:v>
                </c:pt>
                <c:pt idx="50">
                  <c:v>44179</c:v>
                </c:pt>
                <c:pt idx="51">
                  <c:v>44176</c:v>
                </c:pt>
                <c:pt idx="52">
                  <c:v>44175</c:v>
                </c:pt>
                <c:pt idx="53">
                  <c:v>44174</c:v>
                </c:pt>
                <c:pt idx="54">
                  <c:v>44173</c:v>
                </c:pt>
                <c:pt idx="55">
                  <c:v>44172</c:v>
                </c:pt>
                <c:pt idx="56">
                  <c:v>44169</c:v>
                </c:pt>
                <c:pt idx="57">
                  <c:v>44168</c:v>
                </c:pt>
                <c:pt idx="58">
                  <c:v>44167</c:v>
                </c:pt>
              </c:numCache>
            </c:numRef>
          </c:cat>
          <c:val>
            <c:numRef>
              <c:f>资金!$C$3:$C$61</c:f>
              <c:numCache>
                <c:formatCode>###,###,###,###,##0.0000</c:formatCode>
                <c:ptCount val="59"/>
                <c:pt idx="0">
                  <c:v>2.3666999999999998</c:v>
                </c:pt>
                <c:pt idx="1">
                  <c:v>2.2989999999999999</c:v>
                </c:pt>
                <c:pt idx="2">
                  <c:v>2.3325999999999998</c:v>
                </c:pt>
                <c:pt idx="3">
                  <c:v>2.4706999999999999</c:v>
                </c:pt>
                <c:pt idx="4">
                  <c:v>2.4460999999999999</c:v>
                </c:pt>
                <c:pt idx="5">
                  <c:v>2.0444</c:v>
                </c:pt>
                <c:pt idx="6">
                  <c:v>2.0552999999999999</c:v>
                </c:pt>
                <c:pt idx="7">
                  <c:v>2.294</c:v>
                </c:pt>
                <c:pt idx="8">
                  <c:v>2.1448</c:v>
                </c:pt>
                <c:pt idx="9">
                  <c:v>2.5484</c:v>
                </c:pt>
                <c:pt idx="10">
                  <c:v>2.5283000000000002</c:v>
                </c:pt>
                <c:pt idx="11">
                  <c:v>2.4319999999999999</c:v>
                </c:pt>
                <c:pt idx="12">
                  <c:v>2.2995999999999999</c:v>
                </c:pt>
                <c:pt idx="13">
                  <c:v>2.5297000000000001</c:v>
                </c:pt>
                <c:pt idx="14">
                  <c:v>2.2336</c:v>
                </c:pt>
                <c:pt idx="15">
                  <c:v>2.5807000000000002</c:v>
                </c:pt>
                <c:pt idx="16">
                  <c:v>3.7665999999999999</c:v>
                </c:pt>
                <c:pt idx="17">
                  <c:v>4.3929999999999998</c:v>
                </c:pt>
                <c:pt idx="18">
                  <c:v>4.8315000000000001</c:v>
                </c:pt>
                <c:pt idx="19">
                  <c:v>4.0193000000000003</c:v>
                </c:pt>
                <c:pt idx="20">
                  <c:v>3.3340999999999998</c:v>
                </c:pt>
                <c:pt idx="21">
                  <c:v>2.7936999999999999</c:v>
                </c:pt>
                <c:pt idx="22">
                  <c:v>2.5236000000000001</c:v>
                </c:pt>
                <c:pt idx="23">
                  <c:v>2.7056</c:v>
                </c:pt>
                <c:pt idx="24">
                  <c:v>2.8475000000000001</c:v>
                </c:pt>
                <c:pt idx="25">
                  <c:v>2.7555000000000001</c:v>
                </c:pt>
                <c:pt idx="26">
                  <c:v>2.2976000000000001</c:v>
                </c:pt>
                <c:pt idx="27">
                  <c:v>2.0333999999999999</c:v>
                </c:pt>
                <c:pt idx="28">
                  <c:v>2.0226000000000002</c:v>
                </c:pt>
                <c:pt idx="29">
                  <c:v>2.0316000000000001</c:v>
                </c:pt>
                <c:pt idx="30">
                  <c:v>1.9894000000000001</c:v>
                </c:pt>
                <c:pt idx="31">
                  <c:v>1.9881</c:v>
                </c:pt>
                <c:pt idx="32">
                  <c:v>1.9588000000000001</c:v>
                </c:pt>
                <c:pt idx="33">
                  <c:v>1.9403999999999999</c:v>
                </c:pt>
                <c:pt idx="34">
                  <c:v>1.99</c:v>
                </c:pt>
                <c:pt idx="35">
                  <c:v>1.9370000000000001</c:v>
                </c:pt>
                <c:pt idx="36">
                  <c:v>2.0960000000000001</c:v>
                </c:pt>
                <c:pt idx="37">
                  <c:v>2.5943000000000001</c:v>
                </c:pt>
                <c:pt idx="38">
                  <c:v>3.3605</c:v>
                </c:pt>
                <c:pt idx="39">
                  <c:v>2.9542000000000002</c:v>
                </c:pt>
                <c:pt idx="40">
                  <c:v>2.7515999999999998</c:v>
                </c:pt>
                <c:pt idx="41">
                  <c:v>2.4668000000000001</c:v>
                </c:pt>
                <c:pt idx="42">
                  <c:v>1.7735000000000001</c:v>
                </c:pt>
                <c:pt idx="43">
                  <c:v>2.0478000000000001</c:v>
                </c:pt>
                <c:pt idx="44">
                  <c:v>2.1903999999999999</c:v>
                </c:pt>
                <c:pt idx="45">
                  <c:v>2.2450999999999999</c:v>
                </c:pt>
                <c:pt idx="46">
                  <c:v>2.2906</c:v>
                </c:pt>
                <c:pt idx="47">
                  <c:v>2.1383999999999999</c:v>
                </c:pt>
                <c:pt idx="48">
                  <c:v>2.1206</c:v>
                </c:pt>
                <c:pt idx="49">
                  <c:v>2.3511000000000002</c:v>
                </c:pt>
                <c:pt idx="50">
                  <c:v>2.4319000000000002</c:v>
                </c:pt>
                <c:pt idx="51">
                  <c:v>2.3391000000000002</c:v>
                </c:pt>
                <c:pt idx="52">
                  <c:v>2.2159</c:v>
                </c:pt>
                <c:pt idx="53">
                  <c:v>2.2378999999999998</c:v>
                </c:pt>
                <c:pt idx="54">
                  <c:v>2.3071000000000002</c:v>
                </c:pt>
                <c:pt idx="55">
                  <c:v>2.2997000000000001</c:v>
                </c:pt>
                <c:pt idx="56">
                  <c:v>2.3256999999999999</c:v>
                </c:pt>
                <c:pt idx="57">
                  <c:v>2.2808999999999999</c:v>
                </c:pt>
                <c:pt idx="58">
                  <c:v>2.0720000000000001</c:v>
                </c:pt>
              </c:numCache>
            </c:numRef>
          </c:val>
          <c:smooth val="1"/>
          <c:extLst xmlns:c16r2="http://schemas.microsoft.com/office/drawing/2015/06/chart">
            <c:ext xmlns:c16="http://schemas.microsoft.com/office/drawing/2014/chart" uri="{C3380CC4-5D6E-409C-BE32-E72D297353CC}">
              <c16:uniqueId val="{00000001-8715-46EB-A08B-EE4B66CBC6C1}"/>
            </c:ext>
          </c:extLst>
        </c:ser>
        <c:dLbls>
          <c:showLegendKey val="0"/>
          <c:showVal val="0"/>
          <c:showCatName val="0"/>
          <c:showSerName val="0"/>
          <c:showPercent val="0"/>
          <c:showBubbleSize val="0"/>
        </c:dLbls>
        <c:marker val="1"/>
        <c:smooth val="0"/>
        <c:axId val="441698944"/>
        <c:axId val="450847104"/>
      </c:lineChart>
      <c:dateAx>
        <c:axId val="4416989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0847104"/>
        <c:crosses val="autoZero"/>
        <c:auto val="0"/>
        <c:lblOffset val="0"/>
        <c:baseTimeUnit val="days"/>
        <c:majorUnit val="14"/>
        <c:majorTimeUnit val="days"/>
        <c:minorUnit val="7"/>
        <c:minorTimeUnit val="days"/>
      </c:dateAx>
      <c:valAx>
        <c:axId val="45084710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169894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-8.3499999999999908</c:v>
                </c:pt>
                <c:pt idx="1">
                  <c:v>-2.949999999999986</c:v>
                </c:pt>
                <c:pt idx="2">
                  <c:v>-2.1299999999999653</c:v>
                </c:pt>
                <c:pt idx="3">
                  <c:v>2.3800000000000043</c:v>
                </c:pt>
                <c:pt idx="4">
                  <c:v>2.6699999999999946</c:v>
                </c:pt>
                <c:pt idx="5">
                  <c:v>3.4299999999999997</c:v>
                </c:pt>
                <c:pt idx="6">
                  <c:v>1.9299999999999873</c:v>
                </c:pt>
              </c:numCache>
            </c:numRef>
          </c:val>
          <c:extLst xmlns:c16r2="http://schemas.microsoft.com/office/drawing/2015/06/chart">
            <c:ext xmlns:c16="http://schemas.microsoft.com/office/drawing/2014/chart" uri="{C3380CC4-5D6E-409C-BE32-E72D297353CC}">
              <c16:uniqueId val="{00000000-65D9-40ED-9C72-677794E22C1C}"/>
            </c:ext>
          </c:extLst>
        </c:ser>
        <c:dLbls>
          <c:showLegendKey val="0"/>
          <c:showVal val="0"/>
          <c:showCatName val="0"/>
          <c:showSerName val="0"/>
          <c:showPercent val="0"/>
          <c:showBubbleSize val="0"/>
        </c:dLbls>
        <c:gapWidth val="150"/>
        <c:axId val="453712896"/>
        <c:axId val="47652569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5D9-40ED-9C72-677794E22C1C}"/>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65D9-40ED-9C72-677794E22C1C}"/>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65D9-40ED-9C72-677794E22C1C}"/>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65D9-40ED-9C72-677794E22C1C}"/>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5D9-40ED-9C72-677794E22C1C}"/>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65D9-40ED-9C72-677794E22C1C}"/>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1.7312000000000001</c:v>
                </c:pt>
                <c:pt idx="1">
                  <c:v>1.9879</c:v>
                </c:pt>
                <c:pt idx="2">
                  <c:v>2.6036000000000001</c:v>
                </c:pt>
                <c:pt idx="3">
                  <c:v>2.9028</c:v>
                </c:pt>
                <c:pt idx="4">
                  <c:v>3.105</c:v>
                </c:pt>
                <c:pt idx="5">
                  <c:v>3.2618</c:v>
                </c:pt>
                <c:pt idx="6">
                  <c:v>3.2797999999999998</c:v>
                </c:pt>
              </c:numCache>
            </c:numRef>
          </c:val>
          <c:smooth val="0"/>
          <c:extLst xmlns:c16r2="http://schemas.microsoft.com/office/drawing/2015/06/chart">
            <c:ext xmlns:c16="http://schemas.microsoft.com/office/drawing/2014/chart" uri="{C3380CC4-5D6E-409C-BE32-E72D297353CC}">
              <c16:uniqueId val="{00000007-65D9-40ED-9C72-677794E22C1C}"/>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1.8147</c:v>
                </c:pt>
                <c:pt idx="1">
                  <c:v>2.0173999999999999</c:v>
                </c:pt>
                <c:pt idx="2">
                  <c:v>2.6248999999999998</c:v>
                </c:pt>
                <c:pt idx="3">
                  <c:v>2.879</c:v>
                </c:pt>
                <c:pt idx="4">
                  <c:v>3.0783</c:v>
                </c:pt>
                <c:pt idx="5">
                  <c:v>3.2275</c:v>
                </c:pt>
                <c:pt idx="6">
                  <c:v>3.2605</c:v>
                </c:pt>
              </c:numCache>
            </c:numRef>
          </c:val>
          <c:smooth val="0"/>
          <c:extLst xmlns:c16r2="http://schemas.microsoft.com/office/drawing/2015/06/chart">
            <c:ext xmlns:c16="http://schemas.microsoft.com/office/drawing/2014/chart" uri="{C3380CC4-5D6E-409C-BE32-E72D297353CC}">
              <c16:uniqueId val="{00000008-65D9-40ED-9C72-677794E22C1C}"/>
            </c:ext>
          </c:extLst>
        </c:ser>
        <c:dLbls>
          <c:showLegendKey val="0"/>
          <c:showVal val="0"/>
          <c:showCatName val="0"/>
          <c:showSerName val="0"/>
          <c:showPercent val="0"/>
          <c:showBubbleSize val="0"/>
        </c:dLbls>
        <c:marker val="1"/>
        <c:smooth val="0"/>
        <c:axId val="476545408"/>
        <c:axId val="476527232"/>
      </c:lineChart>
      <c:dateAx>
        <c:axId val="45371289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76525696"/>
        <c:crosses val="autoZero"/>
        <c:auto val="0"/>
        <c:lblOffset val="0"/>
        <c:baseTimeUnit val="days"/>
      </c:dateAx>
      <c:valAx>
        <c:axId val="47652569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3712896"/>
        <c:crosses val="autoZero"/>
        <c:crossBetween val="between"/>
      </c:valAx>
      <c:valAx>
        <c:axId val="476527232"/>
        <c:scaling>
          <c:orientation val="minMax"/>
        </c:scaling>
        <c:delete val="0"/>
        <c:axPos val="r"/>
        <c:numFmt formatCode="#,##0.0_);[Red]\(#,##0.0\)" sourceLinked="0"/>
        <c:majorTickMark val="out"/>
        <c:minorTickMark val="none"/>
        <c:tickLblPos val="nextTo"/>
        <c:spPr>
          <a:ln w="3175">
            <a:solidFill>
              <a:sysClr val="windowText" lastClr="000000"/>
            </a:solidFill>
          </a:ln>
        </c:spPr>
        <c:crossAx val="476545408"/>
        <c:crosses val="max"/>
        <c:crossBetween val="between"/>
      </c:valAx>
      <c:dateAx>
        <c:axId val="476545408"/>
        <c:scaling>
          <c:orientation val="minMax"/>
        </c:scaling>
        <c:delete val="1"/>
        <c:axPos val="b"/>
        <c:numFmt formatCode="General" sourceLinked="1"/>
        <c:majorTickMark val="out"/>
        <c:minorTickMark val="none"/>
        <c:tickLblPos val="nextTo"/>
        <c:crossAx val="476527232"/>
        <c:crosses val="autoZero"/>
        <c:auto val="0"/>
        <c:lblOffset val="100"/>
        <c:baseTimeUnit val="years"/>
      </c:dateAx>
    </c:plotArea>
    <c:legend>
      <c:legendPos val="r"/>
      <c:layout>
        <c:manualLayout>
          <c:xMode val="edge"/>
          <c:yMode val="edge"/>
          <c:x val="8.0261944813536032E-2"/>
          <c:y val="2.333971201806945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-8.3500000000000121</c:v>
                </c:pt>
                <c:pt idx="1">
                  <c:v>1.9000000000000128</c:v>
                </c:pt>
                <c:pt idx="2">
                  <c:v>-1.0299999999999976</c:v>
                </c:pt>
                <c:pt idx="3">
                  <c:v>-3.7800000000000278</c:v>
                </c:pt>
                <c:pt idx="4">
                  <c:v>-0.88000000000003631</c:v>
                </c:pt>
                <c:pt idx="5">
                  <c:v>1.5499999999999847</c:v>
                </c:pt>
                <c:pt idx="6">
                  <c:v>1.3100000000000112</c:v>
                </c:pt>
              </c:numCache>
            </c:numRef>
          </c:val>
          <c:extLst xmlns:c16r2="http://schemas.microsoft.com/office/drawing/2015/06/chart">
            <c:ext xmlns:c16="http://schemas.microsoft.com/office/drawing/2014/chart" uri="{C3380CC4-5D6E-409C-BE32-E72D297353CC}">
              <c16:uniqueId val="{00000000-4032-444B-B4D3-9643AB2ED2B8}"/>
            </c:ext>
          </c:extLst>
        </c:ser>
        <c:dLbls>
          <c:showLegendKey val="0"/>
          <c:showVal val="0"/>
          <c:showCatName val="0"/>
          <c:showSerName val="0"/>
          <c:showPercent val="0"/>
          <c:showBubbleSize val="0"/>
        </c:dLbls>
        <c:gapWidth val="150"/>
        <c:axId val="400878976"/>
        <c:axId val="41484851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4032-444B-B4D3-9643AB2ED2B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032-444B-B4D3-9643AB2ED2B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4032-444B-B4D3-9643AB2ED2B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032-444B-B4D3-9643AB2ED2B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032-444B-B4D3-9643AB2ED2B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032-444B-B4D3-9643AB2ED2B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1.8713</c:v>
                </c:pt>
                <c:pt idx="1">
                  <c:v>2.1263000000000001</c:v>
                </c:pt>
                <c:pt idx="2">
                  <c:v>2.738</c:v>
                </c:pt>
                <c:pt idx="3">
                  <c:v>3.2309999999999999</c:v>
                </c:pt>
                <c:pt idx="4">
                  <c:v>3.4649999999999999</c:v>
                </c:pt>
                <c:pt idx="5">
                  <c:v>3.577</c:v>
                </c:pt>
                <c:pt idx="6">
                  <c:v>3.7542</c:v>
                </c:pt>
              </c:numCache>
            </c:numRef>
          </c:val>
          <c:smooth val="0"/>
          <c:extLst xmlns:c16r2="http://schemas.microsoft.com/office/drawing/2015/06/chart">
            <c:ext xmlns:c16="http://schemas.microsoft.com/office/drawing/2014/chart" uri="{C3380CC4-5D6E-409C-BE32-E72D297353CC}">
              <c16:uniqueId val="{00000007-4032-444B-B4D3-9643AB2ED2B8}"/>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1.9548000000000001</c:v>
                </c:pt>
                <c:pt idx="1">
                  <c:v>2.1073</c:v>
                </c:pt>
                <c:pt idx="2">
                  <c:v>2.7483</c:v>
                </c:pt>
                <c:pt idx="3">
                  <c:v>3.2688000000000001</c:v>
                </c:pt>
                <c:pt idx="4">
                  <c:v>3.4738000000000002</c:v>
                </c:pt>
                <c:pt idx="5">
                  <c:v>3.5615000000000001</c:v>
                </c:pt>
                <c:pt idx="6">
                  <c:v>3.7410999999999999</c:v>
                </c:pt>
              </c:numCache>
            </c:numRef>
          </c:val>
          <c:smooth val="0"/>
          <c:extLst xmlns:c16r2="http://schemas.microsoft.com/office/drawing/2015/06/chart">
            <c:ext xmlns:c16="http://schemas.microsoft.com/office/drawing/2014/chart" uri="{C3380CC4-5D6E-409C-BE32-E72D297353CC}">
              <c16:uniqueId val="{00000008-4032-444B-B4D3-9643AB2ED2B8}"/>
            </c:ext>
          </c:extLst>
        </c:ser>
        <c:dLbls>
          <c:showLegendKey val="0"/>
          <c:showVal val="0"/>
          <c:showCatName val="0"/>
          <c:showSerName val="0"/>
          <c:showPercent val="0"/>
          <c:showBubbleSize val="0"/>
        </c:dLbls>
        <c:marker val="1"/>
        <c:smooth val="0"/>
        <c:axId val="433050368"/>
        <c:axId val="414850048"/>
      </c:lineChart>
      <c:dateAx>
        <c:axId val="40087897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14848512"/>
        <c:crosses val="autoZero"/>
        <c:auto val="0"/>
        <c:lblOffset val="0"/>
        <c:baseTimeUnit val="days"/>
      </c:dateAx>
      <c:valAx>
        <c:axId val="41484851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0878976"/>
        <c:crosses val="autoZero"/>
        <c:crossBetween val="between"/>
      </c:valAx>
      <c:valAx>
        <c:axId val="414850048"/>
        <c:scaling>
          <c:orientation val="minMax"/>
        </c:scaling>
        <c:delete val="0"/>
        <c:axPos val="r"/>
        <c:numFmt formatCode="#,##0.0_);[Red]\(#,##0.0\)" sourceLinked="0"/>
        <c:majorTickMark val="out"/>
        <c:minorTickMark val="none"/>
        <c:tickLblPos val="nextTo"/>
        <c:spPr>
          <a:ln w="3175">
            <a:solidFill>
              <a:sysClr val="windowText" lastClr="000000"/>
            </a:solidFill>
          </a:ln>
        </c:spPr>
        <c:crossAx val="433050368"/>
        <c:crosses val="max"/>
        <c:crossBetween val="between"/>
      </c:valAx>
      <c:dateAx>
        <c:axId val="433050368"/>
        <c:scaling>
          <c:orientation val="minMax"/>
        </c:scaling>
        <c:delete val="1"/>
        <c:axPos val="b"/>
        <c:numFmt formatCode="General" sourceLinked="1"/>
        <c:majorTickMark val="out"/>
        <c:minorTickMark val="none"/>
        <c:tickLblPos val="nextTo"/>
        <c:crossAx val="414850048"/>
        <c:crosses val="autoZero"/>
        <c:auto val="0"/>
        <c:lblOffset val="100"/>
        <c:baseTimeUnit val="years"/>
      </c:dateAx>
    </c:plotArea>
    <c:legend>
      <c:legendPos val="r"/>
      <c:layout>
        <c:manualLayout>
          <c:xMode val="edge"/>
          <c:yMode val="edge"/>
          <c:x val="0.12683702021364229"/>
          <c:y val="2.333832423640587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44253</c:v>
                </c:pt>
                <c:pt idx="1">
                  <c:v>44246</c:v>
                </c:pt>
                <c:pt idx="2">
                  <c:v>44237</c:v>
                </c:pt>
                <c:pt idx="3">
                  <c:v>44232</c:v>
                </c:pt>
                <c:pt idx="4">
                  <c:v>44225</c:v>
                </c:pt>
                <c:pt idx="5">
                  <c:v>44218</c:v>
                </c:pt>
                <c:pt idx="6">
                  <c:v>44211</c:v>
                </c:pt>
                <c:pt idx="7">
                  <c:v>44204</c:v>
                </c:pt>
                <c:pt idx="8">
                  <c:v>44196</c:v>
                </c:pt>
                <c:pt idx="9">
                  <c:v>44190</c:v>
                </c:pt>
                <c:pt idx="10">
                  <c:v>44183</c:v>
                </c:pt>
                <c:pt idx="11">
                  <c:v>44176</c:v>
                </c:pt>
                <c:pt idx="12">
                  <c:v>44169</c:v>
                </c:pt>
                <c:pt idx="13">
                  <c:v>44162</c:v>
                </c:pt>
                <c:pt idx="14">
                  <c:v>44155</c:v>
                </c:pt>
                <c:pt idx="15">
                  <c:v>44148</c:v>
                </c:pt>
                <c:pt idx="16">
                  <c:v>44141</c:v>
                </c:pt>
                <c:pt idx="17">
                  <c:v>44134</c:v>
                </c:pt>
                <c:pt idx="18">
                  <c:v>44127</c:v>
                </c:pt>
                <c:pt idx="19">
                  <c:v>44120</c:v>
                </c:pt>
                <c:pt idx="20">
                  <c:v>44113</c:v>
                </c:pt>
                <c:pt idx="21">
                  <c:v>44104</c:v>
                </c:pt>
                <c:pt idx="22">
                  <c:v>44099</c:v>
                </c:pt>
                <c:pt idx="23">
                  <c:v>44092</c:v>
                </c:pt>
              </c:numCache>
            </c:numRef>
          </c:cat>
          <c:val>
            <c:numRef>
              <c:f>转债!$H$5:$H$28</c:f>
              <c:numCache>
                <c:formatCode>General</c:formatCode>
                <c:ptCount val="24"/>
                <c:pt idx="0">
                  <c:v>0.56766989505756538</c:v>
                </c:pt>
                <c:pt idx="1">
                  <c:v>2.0969772155995381</c:v>
                </c:pt>
                <c:pt idx="2">
                  <c:v>0.42140435830020362</c:v>
                </c:pt>
                <c:pt idx="3">
                  <c:v>-2.3726664248630014</c:v>
                </c:pt>
                <c:pt idx="4">
                  <c:v>-0.11167366851578819</c:v>
                </c:pt>
                <c:pt idx="5">
                  <c:v>3.83457876901383</c:v>
                </c:pt>
                <c:pt idx="6">
                  <c:v>2.8897832077807273</c:v>
                </c:pt>
                <c:pt idx="7">
                  <c:v>2.933318876482538</c:v>
                </c:pt>
                <c:pt idx="8">
                  <c:v>1.3543390641537423</c:v>
                </c:pt>
                <c:pt idx="9">
                  <c:v>0.15966747775471024</c:v>
                </c:pt>
                <c:pt idx="10">
                  <c:v>-1.6456592846825213E-2</c:v>
                </c:pt>
                <c:pt idx="11">
                  <c:v>-0.17521593086250453</c:v>
                </c:pt>
                <c:pt idx="12">
                  <c:v>1.5471674020763881</c:v>
                </c:pt>
                <c:pt idx="13">
                  <c:v>1.3787212401776383</c:v>
                </c:pt>
                <c:pt idx="14">
                  <c:v>0.7254385351761039</c:v>
                </c:pt>
                <c:pt idx="15">
                  <c:v>0.75546218533646403</c:v>
                </c:pt>
                <c:pt idx="16">
                  <c:v>1.1139297077826571</c:v>
                </c:pt>
                <c:pt idx="17">
                  <c:v>0.67794007488575225</c:v>
                </c:pt>
                <c:pt idx="18">
                  <c:v>0.95561067994349713</c:v>
                </c:pt>
                <c:pt idx="19">
                  <c:v>1.4124600074522542</c:v>
                </c:pt>
                <c:pt idx="20">
                  <c:v>-0.17873841227452614</c:v>
                </c:pt>
                <c:pt idx="21">
                  <c:v>-1.1469529710204318</c:v>
                </c:pt>
                <c:pt idx="22">
                  <c:v>-2.103526829475022</c:v>
                </c:pt>
                <c:pt idx="23">
                  <c:v>0</c:v>
                </c:pt>
              </c:numCache>
            </c:numRef>
          </c:val>
          <c:smooth val="1"/>
          <c:extLst xmlns:c16r2="http://schemas.microsoft.com/office/drawing/2015/06/chart">
            <c:ext xmlns:c16="http://schemas.microsoft.com/office/drawing/2014/chart" uri="{C3380CC4-5D6E-409C-BE32-E72D297353CC}">
              <c16:uniqueId val="{00000000-45B6-43B7-A833-CDAB44C13580}"/>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44253</c:v>
                </c:pt>
                <c:pt idx="1">
                  <c:v>44246</c:v>
                </c:pt>
                <c:pt idx="2">
                  <c:v>44237</c:v>
                </c:pt>
                <c:pt idx="3">
                  <c:v>44232</c:v>
                </c:pt>
                <c:pt idx="4">
                  <c:v>44225</c:v>
                </c:pt>
                <c:pt idx="5">
                  <c:v>44218</c:v>
                </c:pt>
                <c:pt idx="6">
                  <c:v>44211</c:v>
                </c:pt>
                <c:pt idx="7">
                  <c:v>44204</c:v>
                </c:pt>
                <c:pt idx="8">
                  <c:v>44196</c:v>
                </c:pt>
                <c:pt idx="9">
                  <c:v>44190</c:v>
                </c:pt>
                <c:pt idx="10">
                  <c:v>44183</c:v>
                </c:pt>
                <c:pt idx="11">
                  <c:v>44176</c:v>
                </c:pt>
                <c:pt idx="12">
                  <c:v>44169</c:v>
                </c:pt>
                <c:pt idx="13">
                  <c:v>44162</c:v>
                </c:pt>
                <c:pt idx="14">
                  <c:v>44155</c:v>
                </c:pt>
                <c:pt idx="15">
                  <c:v>44148</c:v>
                </c:pt>
                <c:pt idx="16">
                  <c:v>44141</c:v>
                </c:pt>
                <c:pt idx="17">
                  <c:v>44134</c:v>
                </c:pt>
                <c:pt idx="18">
                  <c:v>44127</c:v>
                </c:pt>
                <c:pt idx="19">
                  <c:v>44120</c:v>
                </c:pt>
                <c:pt idx="20">
                  <c:v>44113</c:v>
                </c:pt>
                <c:pt idx="21">
                  <c:v>44104</c:v>
                </c:pt>
                <c:pt idx="22">
                  <c:v>44099</c:v>
                </c:pt>
                <c:pt idx="23">
                  <c:v>44092</c:v>
                </c:pt>
              </c:numCache>
            </c:numRef>
          </c:cat>
          <c:val>
            <c:numRef>
              <c:f>转债!$I$5:$I$28</c:f>
              <c:numCache>
                <c:formatCode>General</c:formatCode>
                <c:ptCount val="24"/>
                <c:pt idx="0">
                  <c:v>3.8013589217467114E-2</c:v>
                </c:pt>
                <c:pt idx="1">
                  <c:v>6.4922084955676418E-2</c:v>
                </c:pt>
                <c:pt idx="2">
                  <c:v>0.1399241778386795</c:v>
                </c:pt>
                <c:pt idx="3">
                  <c:v>0.1558130038936234</c:v>
                </c:pt>
                <c:pt idx="4">
                  <c:v>0.3502375635766608</c:v>
                </c:pt>
                <c:pt idx="5">
                  <c:v>0.73139854130326309</c:v>
                </c:pt>
                <c:pt idx="6">
                  <c:v>0.65622560082825299</c:v>
                </c:pt>
                <c:pt idx="7">
                  <c:v>0.66690357532754874</c:v>
                </c:pt>
                <c:pt idx="8">
                  <c:v>0.64187440310123911</c:v>
                </c:pt>
                <c:pt idx="9">
                  <c:v>0.36433248991571965</c:v>
                </c:pt>
                <c:pt idx="10">
                  <c:v>4.3139016977122857E-2</c:v>
                </c:pt>
                <c:pt idx="11">
                  <c:v>-8.7046848118199627E-2</c:v>
                </c:pt>
                <c:pt idx="12">
                  <c:v>-0.13061298407529565</c:v>
                </c:pt>
                <c:pt idx="13">
                  <c:v>-0.30556091827164122</c:v>
                </c:pt>
                <c:pt idx="14">
                  <c:v>-0.49135767455925627</c:v>
                </c:pt>
                <c:pt idx="15">
                  <c:v>-0.22295610754513584</c:v>
                </c:pt>
                <c:pt idx="16">
                  <c:v>-2.7335614718237977E-3</c:v>
                </c:pt>
                <c:pt idx="17">
                  <c:v>-2.4174934266385506E-2</c:v>
                </c:pt>
                <c:pt idx="18">
                  <c:v>-0.13334654554710834</c:v>
                </c:pt>
                <c:pt idx="19">
                  <c:v>-0.38090470633861395</c:v>
                </c:pt>
                <c:pt idx="20">
                  <c:v>-0.30521922308766047</c:v>
                </c:pt>
                <c:pt idx="21">
                  <c:v>-0.10020211270131973</c:v>
                </c:pt>
                <c:pt idx="22">
                  <c:v>2.9044090638086217E-3</c:v>
                </c:pt>
                <c:pt idx="23">
                  <c:v>0</c:v>
                </c:pt>
              </c:numCache>
            </c:numRef>
          </c:val>
          <c:smooth val="1"/>
          <c:extLst xmlns:c16r2="http://schemas.microsoft.com/office/drawing/2015/06/chart">
            <c:ext xmlns:c16="http://schemas.microsoft.com/office/drawing/2014/chart" uri="{C3380CC4-5D6E-409C-BE32-E72D297353CC}">
              <c16:uniqueId val="{00000001-45B6-43B7-A833-CDAB44C13580}"/>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44253</c:v>
                </c:pt>
                <c:pt idx="1">
                  <c:v>44246</c:v>
                </c:pt>
                <c:pt idx="2">
                  <c:v>44237</c:v>
                </c:pt>
                <c:pt idx="3">
                  <c:v>44232</c:v>
                </c:pt>
                <c:pt idx="4">
                  <c:v>44225</c:v>
                </c:pt>
                <c:pt idx="5">
                  <c:v>44218</c:v>
                </c:pt>
                <c:pt idx="6">
                  <c:v>44211</c:v>
                </c:pt>
                <c:pt idx="7">
                  <c:v>44204</c:v>
                </c:pt>
                <c:pt idx="8">
                  <c:v>44196</c:v>
                </c:pt>
                <c:pt idx="9">
                  <c:v>44190</c:v>
                </c:pt>
                <c:pt idx="10">
                  <c:v>44183</c:v>
                </c:pt>
                <c:pt idx="11">
                  <c:v>44176</c:v>
                </c:pt>
                <c:pt idx="12">
                  <c:v>44169</c:v>
                </c:pt>
                <c:pt idx="13">
                  <c:v>44162</c:v>
                </c:pt>
                <c:pt idx="14">
                  <c:v>44155</c:v>
                </c:pt>
                <c:pt idx="15">
                  <c:v>44148</c:v>
                </c:pt>
                <c:pt idx="16">
                  <c:v>44141</c:v>
                </c:pt>
                <c:pt idx="17">
                  <c:v>44134</c:v>
                </c:pt>
                <c:pt idx="18">
                  <c:v>44127</c:v>
                </c:pt>
                <c:pt idx="19">
                  <c:v>44120</c:v>
                </c:pt>
                <c:pt idx="20">
                  <c:v>44113</c:v>
                </c:pt>
                <c:pt idx="21">
                  <c:v>44104</c:v>
                </c:pt>
                <c:pt idx="22">
                  <c:v>44099</c:v>
                </c:pt>
                <c:pt idx="23">
                  <c:v>44092</c:v>
                </c:pt>
              </c:numCache>
            </c:numRef>
          </c:cat>
          <c:val>
            <c:numRef>
              <c:f>转债!$J$5:$J$28</c:f>
              <c:numCache>
                <c:formatCode>General</c:formatCode>
                <c:ptCount val="24"/>
                <c:pt idx="0">
                  <c:v>12.659087426418679</c:v>
                </c:pt>
                <c:pt idx="1">
                  <c:v>21.991424817525562</c:v>
                </c:pt>
                <c:pt idx="2">
                  <c:v>22.601020749305366</c:v>
                </c:pt>
                <c:pt idx="3">
                  <c:v>15.754936148862896</c:v>
                </c:pt>
                <c:pt idx="4">
                  <c:v>12.980037718103098</c:v>
                </c:pt>
                <c:pt idx="5">
                  <c:v>17.57803901793098</c:v>
                </c:pt>
                <c:pt idx="6">
                  <c:v>15.220160433136897</c:v>
                </c:pt>
                <c:pt idx="7">
                  <c:v>16.008606720832553</c:v>
                </c:pt>
                <c:pt idx="8">
                  <c:v>10.010363538263478</c:v>
                </c:pt>
                <c:pt idx="9">
                  <c:v>6.4369704540259143</c:v>
                </c:pt>
                <c:pt idx="10">
                  <c:v>5.5493809942803063</c:v>
                </c:pt>
                <c:pt idx="11">
                  <c:v>3.2201318079604579</c:v>
                </c:pt>
                <c:pt idx="12">
                  <c:v>6.9415546303787767</c:v>
                </c:pt>
                <c:pt idx="13">
                  <c:v>5.1440096530174673</c:v>
                </c:pt>
                <c:pt idx="14">
                  <c:v>4.3528739497742608</c:v>
                </c:pt>
                <c:pt idx="15">
                  <c:v>2.5281899407963326</c:v>
                </c:pt>
                <c:pt idx="16">
                  <c:v>3.1375621064473558</c:v>
                </c:pt>
                <c:pt idx="17">
                  <c:v>-0.88144644621073187</c:v>
                </c:pt>
                <c:pt idx="18">
                  <c:v>-0.39265889194771697</c:v>
                </c:pt>
                <c:pt idx="19">
                  <c:v>1.152338566090183</c:v>
                </c:pt>
                <c:pt idx="20">
                  <c:v>-1.1810524046129922</c:v>
                </c:pt>
                <c:pt idx="21">
                  <c:v>-3.160029492375771</c:v>
                </c:pt>
                <c:pt idx="22">
                  <c:v>-3.5267885104199204</c:v>
                </c:pt>
                <c:pt idx="23">
                  <c:v>0</c:v>
                </c:pt>
              </c:numCache>
            </c:numRef>
          </c:val>
          <c:smooth val="1"/>
          <c:extLst xmlns:c16r2="http://schemas.microsoft.com/office/drawing/2015/06/chart">
            <c:ext xmlns:c16="http://schemas.microsoft.com/office/drawing/2014/chart" uri="{C3380CC4-5D6E-409C-BE32-E72D297353CC}">
              <c16:uniqueId val="{00000002-45B6-43B7-A833-CDAB44C13580}"/>
            </c:ext>
          </c:extLst>
        </c:ser>
        <c:dLbls>
          <c:showLegendKey val="0"/>
          <c:showVal val="0"/>
          <c:showCatName val="0"/>
          <c:showSerName val="0"/>
          <c:showPercent val="0"/>
          <c:showBubbleSize val="0"/>
        </c:dLbls>
        <c:marker val="1"/>
        <c:smooth val="0"/>
        <c:axId val="453724416"/>
        <c:axId val="401219584"/>
      </c:lineChart>
      <c:dateAx>
        <c:axId val="4537244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01219584"/>
        <c:crosses val="autoZero"/>
        <c:auto val="0"/>
        <c:lblOffset val="0"/>
        <c:baseTimeUnit val="days"/>
        <c:majorUnit val="14"/>
        <c:majorTimeUnit val="days"/>
      </c:dateAx>
      <c:valAx>
        <c:axId val="40121958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372441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B59B-4010-A2F8-93D08DFDE50F}"/>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B59B-4010-A2F8-93D08DFDE50F}"/>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B59B-4010-A2F8-93D08DFDE50F}"/>
            </c:ext>
          </c:extLst>
        </c:ser>
        <c:dLbls>
          <c:showLegendKey val="0"/>
          <c:showVal val="0"/>
          <c:showCatName val="0"/>
          <c:showSerName val="0"/>
          <c:showPercent val="0"/>
          <c:showBubbleSize val="0"/>
        </c:dLbls>
        <c:marker val="1"/>
        <c:smooth val="0"/>
        <c:axId val="401244544"/>
        <c:axId val="401246080"/>
      </c:lineChart>
      <c:dateAx>
        <c:axId val="4012445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01246080"/>
        <c:crosses val="autoZero"/>
        <c:auto val="0"/>
        <c:lblOffset val="0"/>
        <c:baseTimeUnit val="days"/>
        <c:majorUnit val="1"/>
        <c:majorTimeUnit val="months"/>
      </c:dateAx>
      <c:valAx>
        <c:axId val="40124608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12445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9.729328624265042E-2"/>
          <c:y val="0.11196595217264509"/>
          <c:w val="0.9015734691359259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1D92-4B9E-86B2-788130A5E14A}"/>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1D92-4B9E-86B2-788130A5E14A}"/>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D92-4B9E-86B2-788130A5E14A}"/>
            </c:ext>
          </c:extLst>
        </c:ser>
        <c:dLbls>
          <c:showLegendKey val="0"/>
          <c:showVal val="0"/>
          <c:showCatName val="0"/>
          <c:showSerName val="0"/>
          <c:showPercent val="0"/>
          <c:showBubbleSize val="0"/>
        </c:dLbls>
        <c:marker val="1"/>
        <c:smooth val="0"/>
        <c:axId val="401269120"/>
        <c:axId val="401270656"/>
      </c:lineChart>
      <c:dateAx>
        <c:axId val="40126912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01270656"/>
        <c:crosses val="autoZero"/>
        <c:auto val="0"/>
        <c:lblOffset val="0"/>
        <c:baseTimeUnit val="days"/>
        <c:majorUnit val="1"/>
        <c:majorTimeUnit val="months"/>
      </c:dateAx>
      <c:valAx>
        <c:axId val="40127065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126912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44254</c:v>
                </c:pt>
                <c:pt idx="1">
                  <c:v>44247</c:v>
                </c:pt>
                <c:pt idx="2">
                  <c:v>44240</c:v>
                </c:pt>
                <c:pt idx="3">
                  <c:v>44233</c:v>
                </c:pt>
                <c:pt idx="4">
                  <c:v>44226</c:v>
                </c:pt>
                <c:pt idx="5">
                  <c:v>44219</c:v>
                </c:pt>
                <c:pt idx="6">
                  <c:v>44212</c:v>
                </c:pt>
                <c:pt idx="7">
                  <c:v>44205</c:v>
                </c:pt>
                <c:pt idx="8">
                  <c:v>44198</c:v>
                </c:pt>
                <c:pt idx="9">
                  <c:v>44191</c:v>
                </c:pt>
                <c:pt idx="10">
                  <c:v>44184</c:v>
                </c:pt>
                <c:pt idx="11">
                  <c:v>44177</c:v>
                </c:pt>
                <c:pt idx="12">
                  <c:v>44170</c:v>
                </c:pt>
                <c:pt idx="13">
                  <c:v>44163</c:v>
                </c:pt>
                <c:pt idx="14">
                  <c:v>44156</c:v>
                </c:pt>
                <c:pt idx="15">
                  <c:v>44149</c:v>
                </c:pt>
                <c:pt idx="16">
                  <c:v>44142</c:v>
                </c:pt>
                <c:pt idx="17">
                  <c:v>44135</c:v>
                </c:pt>
                <c:pt idx="18">
                  <c:v>44128</c:v>
                </c:pt>
                <c:pt idx="19">
                  <c:v>44121</c:v>
                </c:pt>
                <c:pt idx="20">
                  <c:v>44114</c:v>
                </c:pt>
                <c:pt idx="21">
                  <c:v>44107</c:v>
                </c:pt>
                <c:pt idx="22">
                  <c:v>44100</c:v>
                </c:pt>
                <c:pt idx="23">
                  <c:v>44093</c:v>
                </c:pt>
                <c:pt idx="24">
                  <c:v>44086</c:v>
                </c:pt>
                <c:pt idx="25">
                  <c:v>44079</c:v>
                </c:pt>
              </c:numCache>
            </c:numRef>
          </c:cat>
          <c:val>
            <c:numRef>
              <c:f>汇率!$B$3:$B$28</c:f>
              <c:numCache>
                <c:formatCode>###,###,###,###,##0.00</c:formatCode>
                <c:ptCount val="26"/>
                <c:pt idx="0">
                  <c:v>6.4589999999999996</c:v>
                </c:pt>
                <c:pt idx="1">
                  <c:v>6.4574999999999996</c:v>
                </c:pt>
                <c:pt idx="2">
                  <c:v>6.4379999999999997</c:v>
                </c:pt>
                <c:pt idx="3">
                  <c:v>6.4809999999999999</c:v>
                </c:pt>
                <c:pt idx="4">
                  <c:v>6.4611999999999998</c:v>
                </c:pt>
                <c:pt idx="5">
                  <c:v>6.4776999999999996</c:v>
                </c:pt>
                <c:pt idx="6">
                  <c:v>6.4752000000000001</c:v>
                </c:pt>
                <c:pt idx="7">
                  <c:v>6.4718999999999998</c:v>
                </c:pt>
                <c:pt idx="8">
                  <c:v>6.5397999999999996</c:v>
                </c:pt>
                <c:pt idx="9">
                  <c:v>6.5240999999999998</c:v>
                </c:pt>
                <c:pt idx="10">
                  <c:v>6.5415000000000001</c:v>
                </c:pt>
                <c:pt idx="11">
                  <c:v>6.5411000000000001</c:v>
                </c:pt>
                <c:pt idx="12">
                  <c:v>6.5301999999999998</c:v>
                </c:pt>
                <c:pt idx="13">
                  <c:v>6.5823</c:v>
                </c:pt>
                <c:pt idx="14">
                  <c:v>6.5713999999999997</c:v>
                </c:pt>
                <c:pt idx="15">
                  <c:v>6.6143999999999998</c:v>
                </c:pt>
                <c:pt idx="16">
                  <c:v>6.6215000000000002</c:v>
                </c:pt>
                <c:pt idx="17">
                  <c:v>6.7001999999999997</c:v>
                </c:pt>
                <c:pt idx="18">
                  <c:v>6.6689999999999996</c:v>
                </c:pt>
                <c:pt idx="19">
                  <c:v>6.6981999999999999</c:v>
                </c:pt>
                <c:pt idx="20">
                  <c:v>6.7134999999999998</c:v>
                </c:pt>
                <c:pt idx="21">
                  <c:v>6.8106</c:v>
                </c:pt>
                <c:pt idx="22">
                  <c:v>6.8201999999999998</c:v>
                </c:pt>
                <c:pt idx="23">
                  <c:v>6.7587999999999999</c:v>
                </c:pt>
                <c:pt idx="24">
                  <c:v>6.8369</c:v>
                </c:pt>
                <c:pt idx="25">
                  <c:v>6.8392999999999997</c:v>
                </c:pt>
              </c:numCache>
            </c:numRef>
          </c:val>
          <c:smooth val="1"/>
          <c:extLst xmlns:c16r2="http://schemas.microsoft.com/office/drawing/2015/06/chart">
            <c:ext xmlns:c16="http://schemas.microsoft.com/office/drawing/2014/chart" uri="{C3380CC4-5D6E-409C-BE32-E72D297353CC}">
              <c16:uniqueId val="{00000000-0BB0-4792-88D9-3160C9E3F5F8}"/>
            </c:ext>
          </c:extLst>
        </c:ser>
        <c:dLbls>
          <c:showLegendKey val="0"/>
          <c:showVal val="0"/>
          <c:showCatName val="0"/>
          <c:showSerName val="0"/>
          <c:showPercent val="0"/>
          <c:showBubbleSize val="0"/>
        </c:dLbls>
        <c:marker val="1"/>
        <c:smooth val="0"/>
        <c:axId val="431972736"/>
        <c:axId val="43197427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44254</c:v>
                </c:pt>
                <c:pt idx="1">
                  <c:v>44247</c:v>
                </c:pt>
                <c:pt idx="2">
                  <c:v>44240</c:v>
                </c:pt>
                <c:pt idx="3">
                  <c:v>44233</c:v>
                </c:pt>
                <c:pt idx="4">
                  <c:v>44226</c:v>
                </c:pt>
                <c:pt idx="5">
                  <c:v>44219</c:v>
                </c:pt>
                <c:pt idx="6">
                  <c:v>44212</c:v>
                </c:pt>
                <c:pt idx="7">
                  <c:v>44205</c:v>
                </c:pt>
                <c:pt idx="8">
                  <c:v>44198</c:v>
                </c:pt>
                <c:pt idx="9">
                  <c:v>44191</c:v>
                </c:pt>
                <c:pt idx="10">
                  <c:v>44184</c:v>
                </c:pt>
                <c:pt idx="11">
                  <c:v>44177</c:v>
                </c:pt>
                <c:pt idx="12">
                  <c:v>44170</c:v>
                </c:pt>
                <c:pt idx="13">
                  <c:v>44163</c:v>
                </c:pt>
                <c:pt idx="14">
                  <c:v>44156</c:v>
                </c:pt>
                <c:pt idx="15">
                  <c:v>44149</c:v>
                </c:pt>
                <c:pt idx="16">
                  <c:v>44142</c:v>
                </c:pt>
                <c:pt idx="17">
                  <c:v>44135</c:v>
                </c:pt>
                <c:pt idx="18">
                  <c:v>44128</c:v>
                </c:pt>
                <c:pt idx="19">
                  <c:v>44121</c:v>
                </c:pt>
                <c:pt idx="20">
                  <c:v>44114</c:v>
                </c:pt>
                <c:pt idx="21">
                  <c:v>44107</c:v>
                </c:pt>
                <c:pt idx="22">
                  <c:v>44100</c:v>
                </c:pt>
                <c:pt idx="23">
                  <c:v>44093</c:v>
                </c:pt>
                <c:pt idx="24">
                  <c:v>44086</c:v>
                </c:pt>
                <c:pt idx="25">
                  <c:v>44079</c:v>
                </c:pt>
              </c:numCache>
            </c:numRef>
          </c:cat>
          <c:val>
            <c:numRef>
              <c:f>汇率!$C$3:$C$28</c:f>
              <c:numCache>
                <c:formatCode>###,###,###,###,##0.00</c:formatCode>
                <c:ptCount val="26"/>
                <c:pt idx="0">
                  <c:v>183.98</c:v>
                </c:pt>
                <c:pt idx="1">
                  <c:v>191.78</c:v>
                </c:pt>
                <c:pt idx="2">
                  <c:v>209.49</c:v>
                </c:pt>
                <c:pt idx="3">
                  <c:v>202.64000000000001</c:v>
                </c:pt>
                <c:pt idx="4">
                  <c:v>206.86</c:v>
                </c:pt>
                <c:pt idx="5">
                  <c:v>201.85</c:v>
                </c:pt>
                <c:pt idx="6">
                  <c:v>204.07999999999998</c:v>
                </c:pt>
                <c:pt idx="7">
                  <c:v>201.56</c:v>
                </c:pt>
                <c:pt idx="8">
                  <c:v>221.29</c:v>
                </c:pt>
                <c:pt idx="9">
                  <c:v>229.03000000000003</c:v>
                </c:pt>
                <c:pt idx="10">
                  <c:v>234.02000000000004</c:v>
                </c:pt>
                <c:pt idx="11">
                  <c:v>239.51000000000002</c:v>
                </c:pt>
                <c:pt idx="12">
                  <c:v>229.50999999999996</c:v>
                </c:pt>
                <c:pt idx="13">
                  <c:v>246</c:v>
                </c:pt>
                <c:pt idx="14">
                  <c:v>248</c:v>
                </c:pt>
                <c:pt idx="15">
                  <c:v>238.15</c:v>
                </c:pt>
                <c:pt idx="16">
                  <c:v>237.63</c:v>
                </c:pt>
                <c:pt idx="17">
                  <c:v>230.10000000000002</c:v>
                </c:pt>
                <c:pt idx="18">
                  <c:v>234.57</c:v>
                </c:pt>
                <c:pt idx="19">
                  <c:v>246.02000000000004</c:v>
                </c:pt>
                <c:pt idx="20">
                  <c:v>239.73</c:v>
                </c:pt>
                <c:pt idx="21">
                  <c:v>245.82000000000002</c:v>
                </c:pt>
                <c:pt idx="22">
                  <c:v>246.95</c:v>
                </c:pt>
                <c:pt idx="23">
                  <c:v>241.62</c:v>
                </c:pt>
                <c:pt idx="24">
                  <c:v>246.45999999999998</c:v>
                </c:pt>
                <c:pt idx="25">
                  <c:v>240.28</c:v>
                </c:pt>
              </c:numCache>
            </c:numRef>
          </c:val>
          <c:smooth val="1"/>
          <c:extLst xmlns:c16r2="http://schemas.microsoft.com/office/drawing/2015/06/chart">
            <c:ext xmlns:c16="http://schemas.microsoft.com/office/drawing/2014/chart" uri="{C3380CC4-5D6E-409C-BE32-E72D297353CC}">
              <c16:uniqueId val="{00000001-0BB0-4792-88D9-3160C9E3F5F8}"/>
            </c:ext>
          </c:extLst>
        </c:ser>
        <c:dLbls>
          <c:showLegendKey val="0"/>
          <c:showVal val="0"/>
          <c:showCatName val="0"/>
          <c:showSerName val="0"/>
          <c:showPercent val="0"/>
          <c:showBubbleSize val="0"/>
        </c:dLbls>
        <c:marker val="1"/>
        <c:smooth val="0"/>
        <c:axId val="431981696"/>
        <c:axId val="431975808"/>
      </c:lineChart>
      <c:dateAx>
        <c:axId val="4319727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31974272"/>
        <c:crosses val="autoZero"/>
        <c:auto val="0"/>
        <c:lblOffset val="0"/>
        <c:baseTimeUnit val="days"/>
      </c:dateAx>
      <c:valAx>
        <c:axId val="43197427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31972736"/>
        <c:crosses val="autoZero"/>
        <c:crossBetween val="between"/>
      </c:valAx>
      <c:valAx>
        <c:axId val="431975808"/>
        <c:scaling>
          <c:orientation val="minMax"/>
        </c:scaling>
        <c:delete val="0"/>
        <c:axPos val="r"/>
        <c:numFmt formatCode="#,##0_);[Red]\(#,##0\)" sourceLinked="0"/>
        <c:majorTickMark val="out"/>
        <c:minorTickMark val="none"/>
        <c:tickLblPos val="nextTo"/>
        <c:spPr>
          <a:ln w="3175">
            <a:solidFill>
              <a:sysClr val="windowText" lastClr="000000"/>
            </a:solidFill>
          </a:ln>
        </c:spPr>
        <c:crossAx val="431981696"/>
        <c:crosses val="max"/>
        <c:crossBetween val="between"/>
      </c:valAx>
      <c:dateAx>
        <c:axId val="431981696"/>
        <c:scaling>
          <c:orientation val="minMax"/>
        </c:scaling>
        <c:delete val="1"/>
        <c:axPos val="b"/>
        <c:numFmt formatCode="yyyy\-mm\-dd;@" sourceLinked="1"/>
        <c:majorTickMark val="out"/>
        <c:minorTickMark val="none"/>
        <c:tickLblPos val="nextTo"/>
        <c:crossAx val="43197580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FE93-4FE6-BAF1-C6E94B7BC595}"/>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FE93-4FE6-BAF1-C6E94B7BC595}"/>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FE93-4FE6-BAF1-C6E94B7BC595}"/>
            </c:ext>
          </c:extLst>
        </c:ser>
        <c:dLbls>
          <c:showLegendKey val="0"/>
          <c:showVal val="0"/>
          <c:showCatName val="0"/>
          <c:showSerName val="0"/>
          <c:showPercent val="0"/>
          <c:showBubbleSize val="0"/>
        </c:dLbls>
        <c:marker val="1"/>
        <c:smooth val="0"/>
        <c:axId val="432144384"/>
        <c:axId val="432145920"/>
      </c:lineChart>
      <c:dateAx>
        <c:axId val="432144384"/>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32145920"/>
        <c:crosses val="autoZero"/>
        <c:auto val="0"/>
        <c:lblOffset val="0"/>
        <c:baseTimeUnit val="days"/>
        <c:majorUnit val="1"/>
        <c:majorTimeUnit val="months"/>
      </c:dateAx>
      <c:valAx>
        <c:axId val="432145920"/>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32144384"/>
        <c:crosses val="autoZero"/>
        <c:crossBetween val="between"/>
      </c:valAx>
      <c:spPr>
        <a:solidFill>
          <a:schemeClr val="bg1"/>
        </a:solidFill>
        <a:ln>
          <a:noFill/>
        </a:ln>
        <a:effectLst/>
      </c:spPr>
    </c:plotArea>
    <c:legend>
      <c:legendPos val="r"/>
      <c:layout>
        <c:manualLayout>
          <c:xMode val="edge"/>
          <c:yMode val="edge"/>
          <c:x val="0.12576380620783265"/>
          <c:y val="9.028905488795062E-3"/>
          <c:w val="0.83373126545505427"/>
          <c:h val="7.9359769926506757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5.11466E-7</cdr:y>
    </cdr:from>
    <cdr:to>
      <cdr:x>0.1384</cdr:x>
      <cdr:y>0.07555</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14997" cy="14770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2B2FE-0D8C-471C-A327-52198C2BB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802</Words>
  <Characters>4578</Characters>
  <Application>Microsoft Office Word</Application>
  <DocSecurity>0</DocSecurity>
  <Lines>38</Lines>
  <Paragraphs>10</Paragraphs>
  <ScaleCrop>false</ScaleCrop>
  <Company>Microsoft</Company>
  <LinksUpToDate>false</LinksUpToDate>
  <CharactersWithSpaces>5370</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2</cp:revision>
  <cp:lastPrinted>2019-06-26T06:05:00Z</cp:lastPrinted>
  <dcterms:created xsi:type="dcterms:W3CDTF">2021-03-01T05:22:00Z</dcterms:created>
  <dcterms:modified xsi:type="dcterms:W3CDTF">2021-03-01T05:22:00Z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